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DGStyle"/>
        <w:tblW w:w="9209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10"/>
        <w:gridCol w:w="4399"/>
      </w:tblGrid>
      <w:tr w:rsidR="0066176C" w:rsidRPr="004D713B" w:rsidTr="0039648A">
        <w:trPr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773B" w:rsidRPr="004D713B" w:rsidRDefault="00E5773B" w:rsidP="00E5773B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sz w:val="20"/>
                <w:szCs w:val="20"/>
              </w:rPr>
            </w:pPr>
            <w:bookmarkStart w:id="0" w:name="_Toc488416684"/>
            <w:bookmarkStart w:id="1" w:name="_Toc488416935"/>
            <w:bookmarkStart w:id="2" w:name="_Toc488612179"/>
            <w:bookmarkStart w:id="3" w:name="_Toc488612359"/>
            <w:r w:rsidRPr="004D713B">
              <w:rPr>
                <w:rFonts w:cs="Arial"/>
                <w:b/>
                <w:color w:val="59BA47"/>
                <w:sz w:val="20"/>
                <w:szCs w:val="20"/>
              </w:rPr>
              <w:t xml:space="preserve">TARGET </w:t>
            </w:r>
            <w:r w:rsidR="00E84E31" w:rsidRPr="004D713B">
              <w:rPr>
                <w:rFonts w:cs="Arial"/>
                <w:b/>
                <w:color w:val="59BA47"/>
                <w:sz w:val="20"/>
                <w:szCs w:val="20"/>
              </w:rPr>
              <w:t>6.3</w:t>
            </w:r>
            <w:r w:rsidRPr="004D713B">
              <w:rPr>
                <w:rFonts w:cs="Arial"/>
                <w:b/>
                <w:color w:val="59BA47"/>
                <w:sz w:val="20"/>
                <w:szCs w:val="20"/>
              </w:rPr>
              <w:t xml:space="preserve">: </w:t>
            </w:r>
            <w:r w:rsidR="00E84E31" w:rsidRPr="004D713B">
              <w:rPr>
                <w:rFonts w:cs="Arial"/>
                <w:sz w:val="20"/>
                <w:szCs w:val="20"/>
              </w:rPr>
              <w:t>By 2030, improve water quality by reducing pollution, eliminating dumping and minimizing release of hazardous chemicals and materials, halving the proportion of untreated wastewater and substantially increasing recycling and safe reuse globally</w:t>
            </w:r>
            <w:r w:rsidR="006075D0">
              <w:rPr>
                <w:rFonts w:cs="Arial"/>
                <w:sz w:val="20"/>
                <w:szCs w:val="20"/>
              </w:rPr>
              <w:t>.</w:t>
            </w:r>
          </w:p>
          <w:p w:rsidR="00E5773B" w:rsidRPr="004D713B" w:rsidRDefault="00E5773B" w:rsidP="005F5540">
            <w:pPr>
              <w:jc w:val="both"/>
              <w:rPr>
                <w:rFonts w:cs="Arial"/>
                <w:b/>
                <w:color w:val="59BA47"/>
                <w:sz w:val="20"/>
                <w:szCs w:val="20"/>
              </w:rPr>
            </w:pPr>
          </w:p>
          <w:p w:rsidR="005F5540" w:rsidRPr="004D713B" w:rsidRDefault="0066176C" w:rsidP="00E84E31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D713B">
              <w:rPr>
                <w:rFonts w:cs="Arial"/>
                <w:b/>
                <w:color w:val="59BA47"/>
                <w:sz w:val="20"/>
                <w:szCs w:val="20"/>
              </w:rPr>
              <w:t xml:space="preserve">INDICATOR </w:t>
            </w:r>
            <w:r w:rsidR="0020651E">
              <w:rPr>
                <w:rFonts w:cs="Arial"/>
                <w:b/>
                <w:color w:val="59BA47"/>
                <w:sz w:val="20"/>
                <w:szCs w:val="20"/>
              </w:rPr>
              <w:t>6.3.1</w:t>
            </w:r>
            <w:r w:rsidRPr="004D713B">
              <w:rPr>
                <w:rFonts w:cs="Arial"/>
                <w:b/>
                <w:color w:val="59BA47"/>
                <w:sz w:val="20"/>
                <w:szCs w:val="20"/>
              </w:rPr>
              <w:t xml:space="preserve">D: </w:t>
            </w:r>
            <w:r w:rsidR="0020651E" w:rsidRPr="0020651E">
              <w:rPr>
                <w:rFonts w:cs="Arial"/>
                <w:sz w:val="20"/>
                <w:szCs w:val="20"/>
              </w:rPr>
              <w:t>Proportion of water containing waste safely</w:t>
            </w:r>
            <w:r w:rsidR="00C0795D">
              <w:rPr>
                <w:rFonts w:cs="Arial"/>
                <w:sz w:val="20"/>
                <w:szCs w:val="20"/>
              </w:rPr>
              <w:t xml:space="preserve"> treated and lawfully discharged</w:t>
            </w:r>
            <w:r w:rsidR="006075D0">
              <w:rPr>
                <w:rFonts w:cs="Arial"/>
                <w:sz w:val="20"/>
                <w:szCs w:val="20"/>
              </w:rPr>
              <w:t>.</w:t>
            </w:r>
          </w:p>
          <w:p w:rsidR="00E84E31" w:rsidRPr="004D713B" w:rsidRDefault="00E84E31" w:rsidP="00E84E3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6176C" w:rsidRPr="004D713B" w:rsidTr="0039648A">
        <w:trPr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59BA47"/>
            <w:vAlign w:val="bottom"/>
          </w:tcPr>
          <w:p w:rsidR="0066176C" w:rsidRPr="004D713B" w:rsidRDefault="0066176C" w:rsidP="0039648A">
            <w:pPr>
              <w:spacing w:before="60" w:line="276" w:lineRule="auto"/>
              <w:ind w:right="215"/>
              <w:jc w:val="center"/>
              <w:rPr>
                <w:rFonts w:cs="Arial"/>
                <w:sz w:val="18"/>
                <w:szCs w:val="18"/>
              </w:rPr>
            </w:pPr>
            <w:r w:rsidRPr="004D713B">
              <w:rPr>
                <w:rFonts w:cs="Arial"/>
                <w:b/>
                <w:color w:val="FFFFFF" w:themeColor="background1"/>
                <w:sz w:val="24"/>
                <w:szCs w:val="18"/>
              </w:rPr>
              <w:t>Indicator definition and method of computation (MoC)</w:t>
            </w:r>
          </w:p>
        </w:tc>
      </w:tr>
      <w:tr w:rsidR="0066176C" w:rsidRPr="004D713B" w:rsidTr="0039648A">
        <w:trPr>
          <w:tblCellSpacing w:w="20" w:type="dxa"/>
        </w:trPr>
        <w:tc>
          <w:tcPr>
            <w:tcW w:w="4750" w:type="dxa"/>
            <w:tcBorders>
              <w:top w:val="single" w:sz="4" w:space="0" w:color="C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02E5F" w:rsidRPr="00C0795D" w:rsidRDefault="0066176C" w:rsidP="00660F12">
            <w:pPr>
              <w:spacing w:before="60"/>
              <w:ind w:right="215"/>
              <w:jc w:val="both"/>
              <w:rPr>
                <w:rFonts w:cs="Arial"/>
                <w:sz w:val="18"/>
                <w:szCs w:val="18"/>
              </w:rPr>
            </w:pPr>
            <w:r w:rsidRPr="004D713B">
              <w:rPr>
                <w:rFonts w:cs="Arial"/>
                <w:b/>
                <w:sz w:val="18"/>
                <w:szCs w:val="18"/>
              </w:rPr>
              <w:t>DEFINITION</w:t>
            </w:r>
            <w:r w:rsidR="0020651E">
              <w:rPr>
                <w:rFonts w:cs="Arial"/>
                <w:b/>
                <w:sz w:val="18"/>
                <w:szCs w:val="18"/>
              </w:rPr>
              <w:t xml:space="preserve">: </w:t>
            </w:r>
            <w:r w:rsidR="0020651E" w:rsidRPr="0020651E">
              <w:rPr>
                <w:rFonts w:cs="Arial"/>
                <w:sz w:val="18"/>
                <w:szCs w:val="18"/>
              </w:rPr>
              <w:t>Measures the</w:t>
            </w:r>
            <w:r w:rsidR="0020651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0651E" w:rsidRPr="0020651E">
              <w:rPr>
                <w:rFonts w:cs="Arial"/>
                <w:sz w:val="18"/>
                <w:szCs w:val="18"/>
              </w:rPr>
              <w:t xml:space="preserve">change in the </w:t>
            </w:r>
            <w:r w:rsidR="0020651E">
              <w:rPr>
                <w:rFonts w:cs="Arial"/>
                <w:sz w:val="18"/>
                <w:szCs w:val="18"/>
              </w:rPr>
              <w:t>p</w:t>
            </w:r>
            <w:r w:rsidR="0020651E" w:rsidRPr="0020651E">
              <w:rPr>
                <w:rFonts w:cs="Arial"/>
                <w:sz w:val="18"/>
                <w:szCs w:val="18"/>
              </w:rPr>
              <w:t>roportion (%</w:t>
            </w:r>
            <w:r w:rsidR="006075D0">
              <w:rPr>
                <w:rFonts w:cs="Arial"/>
                <w:sz w:val="18"/>
                <w:szCs w:val="18"/>
              </w:rPr>
              <w:t> </w:t>
            </w:r>
            <w:r w:rsidR="0020651E" w:rsidRPr="0020651E">
              <w:rPr>
                <w:rFonts w:cs="Arial"/>
                <w:sz w:val="18"/>
                <w:szCs w:val="18"/>
              </w:rPr>
              <w:t>Volume in Ml/an</w:t>
            </w:r>
            <w:r w:rsidR="0020651E">
              <w:rPr>
                <w:rFonts w:cs="Arial"/>
                <w:sz w:val="18"/>
                <w:szCs w:val="18"/>
              </w:rPr>
              <w:t xml:space="preserve">num) of water containing waste </w:t>
            </w:r>
            <w:r w:rsidR="0020651E" w:rsidRPr="0020651E">
              <w:rPr>
                <w:rFonts w:cs="Arial"/>
                <w:sz w:val="18"/>
                <w:szCs w:val="18"/>
              </w:rPr>
              <w:t>produced by households and economic activities, that is no longer required by the water user [</w:t>
            </w:r>
            <w:r w:rsidR="0020651E" w:rsidRPr="00660F12">
              <w:rPr>
                <w:rFonts w:cs="Arial"/>
                <w:i/>
                <w:sz w:val="18"/>
                <w:szCs w:val="18"/>
              </w:rPr>
              <w:t>i.e.</w:t>
            </w:r>
            <w:r w:rsidR="0020651E" w:rsidRPr="0020651E">
              <w:rPr>
                <w:rFonts w:cs="Arial"/>
                <w:sz w:val="18"/>
                <w:szCs w:val="18"/>
              </w:rPr>
              <w:t xml:space="preserve"> that is not reused or recycled], that is discharged in compliance with the conditions of </w:t>
            </w:r>
            <w:r w:rsidR="0020651E">
              <w:rPr>
                <w:rFonts w:cs="Arial"/>
                <w:sz w:val="18"/>
                <w:szCs w:val="18"/>
              </w:rPr>
              <w:t>an</w:t>
            </w:r>
            <w:r w:rsidR="0020651E" w:rsidRPr="0020651E">
              <w:rPr>
                <w:rFonts w:cs="Arial"/>
                <w:sz w:val="18"/>
                <w:szCs w:val="18"/>
              </w:rPr>
              <w:t xml:space="preserve"> authorisation (lawfully) where such authorizat</w:t>
            </w:r>
            <w:r w:rsidR="0020651E">
              <w:rPr>
                <w:rFonts w:cs="Arial"/>
                <w:sz w:val="18"/>
                <w:szCs w:val="18"/>
              </w:rPr>
              <w:t xml:space="preserve">ion is adequately linked to instream (resource) water </w:t>
            </w:r>
            <w:r w:rsidR="0020651E" w:rsidRPr="0020651E">
              <w:rPr>
                <w:rFonts w:cs="Arial"/>
                <w:sz w:val="18"/>
                <w:szCs w:val="18"/>
              </w:rPr>
              <w:t xml:space="preserve">quality objectives (safely). </w:t>
            </w:r>
            <w:r w:rsidR="00C0795D">
              <w:rPr>
                <w:rFonts w:cs="Arial"/>
                <w:sz w:val="18"/>
                <w:szCs w:val="18"/>
              </w:rPr>
              <w:t>The term lawfully i</w:t>
            </w:r>
            <w:r w:rsidR="00C0795D" w:rsidRPr="00C0795D">
              <w:rPr>
                <w:rFonts w:cs="Arial"/>
                <w:sz w:val="18"/>
                <w:szCs w:val="18"/>
              </w:rPr>
              <w:t>mplies that</w:t>
            </w:r>
            <w:r w:rsidR="00C0795D">
              <w:rPr>
                <w:rFonts w:cs="Arial"/>
                <w:sz w:val="18"/>
                <w:szCs w:val="18"/>
              </w:rPr>
              <w:t xml:space="preserve"> the discharge of water contain</w:t>
            </w:r>
            <w:r w:rsidR="00DC7722">
              <w:rPr>
                <w:rFonts w:cs="Arial"/>
                <w:sz w:val="18"/>
                <w:szCs w:val="18"/>
              </w:rPr>
              <w:t>ing</w:t>
            </w:r>
            <w:r w:rsidR="00C0795D">
              <w:rPr>
                <w:rFonts w:cs="Arial"/>
                <w:sz w:val="18"/>
                <w:szCs w:val="18"/>
              </w:rPr>
              <w:t xml:space="preserve"> waste</w:t>
            </w:r>
            <w:r w:rsidR="00C0795D" w:rsidRPr="00C0795D">
              <w:rPr>
                <w:rFonts w:cs="Arial"/>
                <w:sz w:val="18"/>
                <w:szCs w:val="18"/>
              </w:rPr>
              <w:t xml:space="preserve"> (1) is</w:t>
            </w:r>
            <w:r w:rsidR="007678CF">
              <w:rPr>
                <w:rFonts w:cs="Arial"/>
                <w:sz w:val="18"/>
                <w:szCs w:val="18"/>
              </w:rPr>
              <w:t xml:space="preserve"> permissible in terms of the relevant legislation of South Africa</w:t>
            </w:r>
            <w:r w:rsidR="00C0795D" w:rsidRPr="00C0795D">
              <w:rPr>
                <w:rFonts w:cs="Arial"/>
                <w:sz w:val="18"/>
                <w:szCs w:val="18"/>
              </w:rPr>
              <w:t xml:space="preserve"> and (2) complies with the conditions (applicable water quality standards) contained in the relevant authorisatio</w:t>
            </w:r>
            <w:r w:rsidR="007678CF">
              <w:rPr>
                <w:rFonts w:cs="Arial"/>
                <w:sz w:val="18"/>
                <w:szCs w:val="18"/>
              </w:rPr>
              <w:t>n</w:t>
            </w:r>
            <w:r w:rsidR="00DC772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339" w:type="dxa"/>
            <w:tcBorders>
              <w:top w:val="single" w:sz="4" w:space="0" w:color="C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0795D" w:rsidRDefault="0066176C" w:rsidP="00C0795D">
            <w:pPr>
              <w:rPr>
                <w:rFonts w:cs="Arial"/>
                <w:sz w:val="18"/>
                <w:szCs w:val="18"/>
              </w:rPr>
            </w:pPr>
            <w:r w:rsidRPr="004D713B">
              <w:rPr>
                <w:rFonts w:cs="Arial"/>
                <w:b/>
                <w:sz w:val="18"/>
                <w:szCs w:val="18"/>
              </w:rPr>
              <w:t>MoC:</w:t>
            </w:r>
            <w:r w:rsidRPr="004D713B">
              <w:rPr>
                <w:rFonts w:cs="Arial"/>
                <w:sz w:val="18"/>
                <w:szCs w:val="18"/>
              </w:rPr>
              <w:t xml:space="preserve"> </w:t>
            </w:r>
          </w:p>
          <w:p w:rsidR="00C0795D" w:rsidRDefault="00C0795D" w:rsidP="00660F1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Pr="00C0795D">
              <w:rPr>
                <w:rFonts w:cs="Arial"/>
                <w:sz w:val="18"/>
                <w:szCs w:val="18"/>
              </w:rPr>
              <w:t xml:space="preserve">alculated by </w:t>
            </w:r>
            <w:r w:rsidR="00660F12">
              <w:rPr>
                <w:rFonts w:cs="Arial"/>
                <w:sz w:val="18"/>
                <w:szCs w:val="18"/>
              </w:rPr>
              <w:t>di</w:t>
            </w:r>
            <w:r w:rsidR="00F1632C">
              <w:rPr>
                <w:rFonts w:cs="Arial"/>
                <w:sz w:val="18"/>
                <w:szCs w:val="18"/>
              </w:rPr>
              <w:t>viding</w:t>
            </w:r>
            <w:r w:rsidR="00F1632C" w:rsidRPr="00C0795D">
              <w:rPr>
                <w:rFonts w:cs="Arial"/>
                <w:sz w:val="18"/>
                <w:szCs w:val="18"/>
              </w:rPr>
              <w:t xml:space="preserve"> </w:t>
            </w:r>
            <w:r w:rsidRPr="00C0795D">
              <w:rPr>
                <w:rFonts w:cs="Arial"/>
                <w:sz w:val="18"/>
                <w:szCs w:val="18"/>
              </w:rPr>
              <w:t xml:space="preserve">the total volume of </w:t>
            </w:r>
            <w:r w:rsidR="00F1632C">
              <w:rPr>
                <w:rFonts w:cs="Arial"/>
                <w:sz w:val="18"/>
                <w:szCs w:val="18"/>
              </w:rPr>
              <w:t>water containing waste</w:t>
            </w:r>
            <w:r w:rsidR="00F1632C" w:rsidRPr="00C0795D">
              <w:rPr>
                <w:rFonts w:cs="Arial"/>
                <w:sz w:val="18"/>
                <w:szCs w:val="18"/>
              </w:rPr>
              <w:t xml:space="preserve"> </w:t>
            </w:r>
            <w:r w:rsidRPr="00C0795D">
              <w:rPr>
                <w:rFonts w:cs="Arial"/>
                <w:sz w:val="18"/>
                <w:szCs w:val="18"/>
              </w:rPr>
              <w:t xml:space="preserve">treated </w:t>
            </w:r>
            <w:r w:rsidR="007678CF">
              <w:rPr>
                <w:rFonts w:cs="Arial"/>
                <w:sz w:val="18"/>
                <w:szCs w:val="18"/>
              </w:rPr>
              <w:t>by Waste Water Treatment Works (WWTW)</w:t>
            </w:r>
            <w:r w:rsidR="002D066C">
              <w:rPr>
                <w:rFonts w:cs="Arial"/>
                <w:sz w:val="18"/>
                <w:szCs w:val="18"/>
              </w:rPr>
              <w:t xml:space="preserve"> that </w:t>
            </w:r>
            <w:r w:rsidR="00B12A1E">
              <w:rPr>
                <w:rFonts w:cs="Arial"/>
                <w:sz w:val="18"/>
                <w:szCs w:val="18"/>
              </w:rPr>
              <w:t>is</w:t>
            </w:r>
            <w:r w:rsidR="00BD1A56">
              <w:rPr>
                <w:rFonts w:cs="Arial"/>
                <w:sz w:val="18"/>
                <w:szCs w:val="18"/>
              </w:rPr>
              <w:t xml:space="preserve"> authorised and </w:t>
            </w:r>
            <w:r w:rsidR="002D066C">
              <w:rPr>
                <w:rFonts w:cs="Arial"/>
                <w:sz w:val="18"/>
                <w:szCs w:val="18"/>
              </w:rPr>
              <w:t>com</w:t>
            </w:r>
            <w:r w:rsidR="00BD1A56">
              <w:rPr>
                <w:rFonts w:cs="Arial"/>
                <w:sz w:val="18"/>
                <w:szCs w:val="18"/>
              </w:rPr>
              <w:t>pliant</w:t>
            </w:r>
            <w:r w:rsidR="002D066C">
              <w:rPr>
                <w:rFonts w:cs="Arial"/>
                <w:sz w:val="18"/>
                <w:szCs w:val="18"/>
              </w:rPr>
              <w:t xml:space="preserve"> to the </w:t>
            </w:r>
            <w:r w:rsidR="00AB3E2A">
              <w:rPr>
                <w:rFonts w:cs="Arial"/>
                <w:sz w:val="18"/>
                <w:szCs w:val="18"/>
              </w:rPr>
              <w:t>water quality conditions</w:t>
            </w:r>
            <w:r w:rsidR="002D066C">
              <w:rPr>
                <w:rFonts w:cs="Arial"/>
                <w:sz w:val="18"/>
                <w:szCs w:val="18"/>
              </w:rPr>
              <w:t xml:space="preserve"> in their authorisations</w:t>
            </w:r>
            <w:r w:rsidR="00660F12">
              <w:rPr>
                <w:rFonts w:cs="Arial"/>
                <w:sz w:val="18"/>
                <w:szCs w:val="18"/>
              </w:rPr>
              <w:t>, into</w:t>
            </w:r>
            <w:r w:rsidR="00F1632C" w:rsidRPr="00C0795D">
              <w:rPr>
                <w:rFonts w:cs="Arial"/>
                <w:sz w:val="18"/>
                <w:szCs w:val="18"/>
              </w:rPr>
              <w:t xml:space="preserve"> </w:t>
            </w:r>
            <w:r w:rsidR="00F1632C">
              <w:rPr>
                <w:rFonts w:cs="Arial"/>
                <w:sz w:val="18"/>
                <w:szCs w:val="18"/>
              </w:rPr>
              <w:t xml:space="preserve">the total volume of water containing waste </w:t>
            </w:r>
            <w:r w:rsidR="00AB3E2A">
              <w:rPr>
                <w:rFonts w:cs="Arial"/>
                <w:sz w:val="18"/>
                <w:szCs w:val="18"/>
              </w:rPr>
              <w:t xml:space="preserve">discharged </w:t>
            </w:r>
            <w:r w:rsidRPr="00C0795D">
              <w:rPr>
                <w:rFonts w:cs="Arial"/>
                <w:sz w:val="18"/>
                <w:szCs w:val="18"/>
              </w:rPr>
              <w:t>over a 12 month period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r w:rsidR="00660F12">
              <w:rPr>
                <w:rFonts w:cs="Arial"/>
                <w:sz w:val="18"/>
                <w:szCs w:val="18"/>
              </w:rPr>
              <w:t>Ninety</w:t>
            </w:r>
            <w:r w:rsidR="00660F12">
              <w:rPr>
                <w:rFonts w:cs="Arial"/>
                <w:sz w:val="18"/>
                <w:szCs w:val="18"/>
              </w:rPr>
              <w:t xml:space="preserve"> percent (</w:t>
            </w:r>
            <w:r w:rsidR="00D77FD2">
              <w:rPr>
                <w:rFonts w:cs="Arial"/>
                <w:sz w:val="18"/>
                <w:szCs w:val="18"/>
              </w:rPr>
              <w:t>90%</w:t>
            </w:r>
            <w:r w:rsidR="00660F12">
              <w:rPr>
                <w:rFonts w:cs="Arial"/>
                <w:sz w:val="18"/>
                <w:szCs w:val="18"/>
              </w:rPr>
              <w:t>)</w:t>
            </w:r>
            <w:r w:rsidR="00D77FD2">
              <w:rPr>
                <w:rFonts w:cs="Arial"/>
                <w:sz w:val="18"/>
                <w:szCs w:val="18"/>
              </w:rPr>
              <w:t xml:space="preserve"> compliance to </w:t>
            </w:r>
            <w:r w:rsidR="002D066C">
              <w:rPr>
                <w:rFonts w:cs="Arial"/>
                <w:sz w:val="18"/>
                <w:szCs w:val="18"/>
              </w:rPr>
              <w:t>the</w:t>
            </w:r>
            <w:r w:rsidR="00D77FD2">
              <w:rPr>
                <w:rFonts w:cs="Arial"/>
                <w:sz w:val="18"/>
                <w:szCs w:val="18"/>
              </w:rPr>
              <w:t xml:space="preserve"> water quality parameters per WWTWs</w:t>
            </w:r>
            <w:r w:rsidR="00660F12">
              <w:rPr>
                <w:rFonts w:cs="Arial"/>
                <w:sz w:val="18"/>
                <w:szCs w:val="18"/>
              </w:rPr>
              <w:t>,</w:t>
            </w:r>
            <w:r w:rsidR="00D77FD2">
              <w:rPr>
                <w:rFonts w:cs="Arial"/>
                <w:sz w:val="18"/>
                <w:szCs w:val="18"/>
              </w:rPr>
              <w:t xml:space="preserve"> per month, is regar</w:t>
            </w:r>
            <w:r w:rsidR="00B12A1E">
              <w:rPr>
                <w:rFonts w:cs="Arial"/>
                <w:sz w:val="18"/>
                <w:szCs w:val="18"/>
              </w:rPr>
              <w:t>ded as compliant for that month:</w:t>
            </w:r>
          </w:p>
          <w:p w:rsidR="00BD1A56" w:rsidRPr="004D713B" w:rsidRDefault="00BD1A56" w:rsidP="00BD1A56">
            <w:pPr>
              <w:jc w:val="center"/>
              <w:rPr>
                <w:sz w:val="18"/>
              </w:rPr>
            </w:pPr>
            <w:r w:rsidRPr="004D713B">
              <w:rPr>
                <w:rFonts w:ascii="Cambria Math" w:hAnsi="Cambria Math" w:cs="Cambria Math"/>
                <w:sz w:val="18"/>
              </w:rPr>
              <w:t>𝐶</w:t>
            </w:r>
            <w:r w:rsidRPr="004D713B">
              <w:rPr>
                <w:rFonts w:ascii="Cambria Math" w:hAnsi="Cambria Math" w:cs="Cambria Math"/>
                <w:sz w:val="18"/>
                <w:vertAlign w:val="subscript"/>
              </w:rPr>
              <w:t>𝑤𝑞</w:t>
            </w:r>
            <w:r w:rsidRPr="004D713B">
              <w:rPr>
                <w:rFonts w:cs="Cambria Math"/>
                <w:sz w:val="18"/>
                <w:vertAlign w:val="subscript"/>
              </w:rPr>
              <w:t xml:space="preserve"> </w:t>
            </w:r>
            <w:r w:rsidRPr="004D713B">
              <w:rPr>
                <w:sz w:val="18"/>
              </w:rPr>
              <w:t>= (</w:t>
            </w:r>
            <w:proofErr w:type="spellStart"/>
            <w:r w:rsidR="00B12A1E">
              <w:rPr>
                <w:rFonts w:ascii="Cambria Math" w:hAnsi="Cambria Math" w:cs="Cambria Math"/>
                <w:sz w:val="18"/>
              </w:rPr>
              <w:t>V</w:t>
            </w:r>
            <w:r w:rsidR="00B12A1E">
              <w:rPr>
                <w:rFonts w:ascii="Cambria Math" w:hAnsi="Cambria Math" w:cs="Cambria Math"/>
                <w:sz w:val="18"/>
                <w:vertAlign w:val="subscript"/>
              </w:rPr>
              <w:t>L</w:t>
            </w:r>
            <w:proofErr w:type="spellEnd"/>
            <w:r w:rsidRPr="004D713B">
              <w:rPr>
                <w:rFonts w:cs="Cambria Math"/>
                <w:sz w:val="18"/>
              </w:rPr>
              <w:t>/</w:t>
            </w:r>
            <w:r w:rsidR="00B12A1E">
              <w:rPr>
                <w:rFonts w:ascii="Cambria Math" w:hAnsi="Cambria Math" w:cs="Cambria Math"/>
                <w:sz w:val="18"/>
              </w:rPr>
              <w:t>V</w:t>
            </w:r>
            <w:r w:rsidR="00B12A1E">
              <w:rPr>
                <w:rFonts w:ascii="Cambria Math" w:hAnsi="Cambria Math" w:cs="Cambria Math"/>
                <w:sz w:val="18"/>
                <w:vertAlign w:val="subscript"/>
              </w:rPr>
              <w:t>T</w:t>
            </w:r>
            <w:r w:rsidRPr="004D713B">
              <w:rPr>
                <w:rFonts w:cs="Cambria Math"/>
                <w:sz w:val="18"/>
              </w:rPr>
              <w:t>)</w:t>
            </w:r>
            <w:r w:rsidRPr="004D713B">
              <w:rPr>
                <w:rFonts w:cs="Cambria Math"/>
                <w:sz w:val="18"/>
                <w:vertAlign w:val="subscript"/>
              </w:rPr>
              <w:t xml:space="preserve"> </w:t>
            </w:r>
            <w:r w:rsidRPr="004D713B">
              <w:rPr>
                <w:sz w:val="18"/>
              </w:rPr>
              <w:t>× 100</w:t>
            </w:r>
          </w:p>
          <w:p w:rsidR="00B12A1E" w:rsidRPr="00B12A1E" w:rsidRDefault="00B12A1E" w:rsidP="00B12A1E">
            <w:pPr>
              <w:jc w:val="both"/>
              <w:rPr>
                <w:rFonts w:cs="Arial"/>
                <w:sz w:val="18"/>
                <w:szCs w:val="18"/>
              </w:rPr>
            </w:pPr>
            <w:r w:rsidRPr="00B12A1E">
              <w:rPr>
                <w:rFonts w:cs="Arial"/>
                <w:sz w:val="18"/>
                <w:szCs w:val="18"/>
              </w:rPr>
              <w:t>Where:</w:t>
            </w:r>
          </w:p>
          <w:p w:rsidR="00BD1A56" w:rsidRPr="00B12A1E" w:rsidRDefault="00BD1A56" w:rsidP="00BD1A56">
            <w:pPr>
              <w:rPr>
                <w:sz w:val="18"/>
              </w:rPr>
            </w:pPr>
            <w:r w:rsidRPr="00B12A1E">
              <w:rPr>
                <w:rFonts w:ascii="Cambria Math" w:hAnsi="Cambria Math" w:cs="Cambria Math"/>
                <w:sz w:val="18"/>
              </w:rPr>
              <w:t>𝐶</w:t>
            </w:r>
            <w:r w:rsidRPr="00B12A1E">
              <w:rPr>
                <w:rFonts w:ascii="Cambria Math" w:hAnsi="Cambria Math" w:cs="Cambria Math"/>
                <w:sz w:val="18"/>
                <w:vertAlign w:val="subscript"/>
              </w:rPr>
              <w:t>𝑤𝑞</w:t>
            </w:r>
            <w:r w:rsidRPr="00B12A1E">
              <w:rPr>
                <w:sz w:val="18"/>
              </w:rPr>
              <w:t xml:space="preserve"> is the </w:t>
            </w:r>
            <w:r w:rsidRPr="00B12A1E">
              <w:rPr>
                <w:sz w:val="18"/>
              </w:rPr>
              <w:t xml:space="preserve">percentage </w:t>
            </w:r>
            <w:r w:rsidRPr="00B12A1E">
              <w:rPr>
                <w:sz w:val="18"/>
              </w:rPr>
              <w:t>compliance [%];</w:t>
            </w:r>
          </w:p>
          <w:p w:rsidR="00BD1A56" w:rsidRPr="00B12A1E" w:rsidRDefault="00B12A1E" w:rsidP="00BD1A56">
            <w:pPr>
              <w:rPr>
                <w:sz w:val="18"/>
              </w:rPr>
            </w:pPr>
            <w:proofErr w:type="spellStart"/>
            <w:r w:rsidRPr="00B12A1E">
              <w:rPr>
                <w:rFonts w:ascii="Cambria Math" w:hAnsi="Cambria Math" w:cs="Cambria Math"/>
                <w:sz w:val="18"/>
              </w:rPr>
              <w:t>V</w:t>
            </w:r>
            <w:r w:rsidRPr="00B12A1E">
              <w:rPr>
                <w:rFonts w:ascii="Cambria Math" w:hAnsi="Cambria Math" w:cs="Cambria Math"/>
                <w:sz w:val="18"/>
                <w:vertAlign w:val="subscript"/>
              </w:rPr>
              <w:t>L</w:t>
            </w:r>
            <w:proofErr w:type="spellEnd"/>
            <w:r w:rsidR="00BD1A56" w:rsidRPr="00B12A1E">
              <w:rPr>
                <w:sz w:val="18"/>
              </w:rPr>
              <w:t xml:space="preserve"> is the </w:t>
            </w:r>
            <w:r>
              <w:rPr>
                <w:sz w:val="18"/>
              </w:rPr>
              <w:t>v</w:t>
            </w:r>
            <w:r w:rsidR="00BD1A56" w:rsidRPr="00B12A1E">
              <w:rPr>
                <w:sz w:val="18"/>
              </w:rPr>
              <w:t xml:space="preserve">olume that is </w:t>
            </w:r>
            <w:proofErr w:type="spellStart"/>
            <w:r w:rsidR="00BD1A56" w:rsidRPr="00B12A1E">
              <w:rPr>
                <w:sz w:val="18"/>
              </w:rPr>
              <w:t>saftely</w:t>
            </w:r>
            <w:proofErr w:type="spellEnd"/>
            <w:r w:rsidR="00BD1A56" w:rsidRPr="00B12A1E">
              <w:rPr>
                <w:sz w:val="18"/>
              </w:rPr>
              <w:t xml:space="preserve"> treated and lawfully discharged (</w:t>
            </w:r>
            <w:proofErr w:type="spellStart"/>
            <w:r w:rsidR="00BD1A56" w:rsidRPr="00B12A1E">
              <w:rPr>
                <w:sz w:val="18"/>
              </w:rPr>
              <w:t>i.e</w:t>
            </w:r>
            <w:proofErr w:type="spellEnd"/>
            <w:r w:rsidR="00BD1A56" w:rsidRPr="00B12A1E">
              <w:rPr>
                <w:sz w:val="18"/>
              </w:rPr>
              <w:t xml:space="preserve"> that is authorised and compliant to the conditions of the authorisation)</w:t>
            </w:r>
            <w:r w:rsidR="00BD1A56" w:rsidRPr="00B12A1E">
              <w:rPr>
                <w:sz w:val="18"/>
              </w:rPr>
              <w:t>;</w:t>
            </w:r>
          </w:p>
          <w:p w:rsidR="00BD1A56" w:rsidRPr="00B12A1E" w:rsidRDefault="00B12A1E" w:rsidP="00BD1A56">
            <w:pPr>
              <w:rPr>
                <w:sz w:val="18"/>
              </w:rPr>
            </w:pPr>
            <w:r w:rsidRPr="00B12A1E">
              <w:rPr>
                <w:rFonts w:ascii="Cambria Math" w:hAnsi="Cambria Math" w:cs="Cambria Math"/>
                <w:sz w:val="18"/>
              </w:rPr>
              <w:t>V</w:t>
            </w:r>
            <w:r w:rsidRPr="00B12A1E">
              <w:rPr>
                <w:rFonts w:ascii="Cambria Math" w:hAnsi="Cambria Math" w:cs="Cambria Math"/>
                <w:sz w:val="18"/>
                <w:vertAlign w:val="subscript"/>
              </w:rPr>
              <w:t>T</w:t>
            </w:r>
            <w:r w:rsidR="00BD1A56" w:rsidRPr="00B12A1E">
              <w:rPr>
                <w:sz w:val="18"/>
              </w:rPr>
              <w:t xml:space="preserve"> is the total </w:t>
            </w:r>
            <w:r w:rsidRPr="00B12A1E">
              <w:rPr>
                <w:sz w:val="18"/>
              </w:rPr>
              <w:t xml:space="preserve">volume of water </w:t>
            </w:r>
            <w:proofErr w:type="spellStart"/>
            <w:r w:rsidRPr="00B12A1E">
              <w:rPr>
                <w:sz w:val="18"/>
              </w:rPr>
              <w:t>conating</w:t>
            </w:r>
            <w:proofErr w:type="spellEnd"/>
            <w:r w:rsidRPr="00B12A1E">
              <w:rPr>
                <w:sz w:val="18"/>
              </w:rPr>
              <w:t xml:space="preserve"> waste that is discharged</w:t>
            </w:r>
          </w:p>
          <w:p w:rsidR="0066176C" w:rsidRPr="004D713B" w:rsidRDefault="0066176C" w:rsidP="004D713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66176C" w:rsidRPr="004D713B" w:rsidTr="0039648A">
        <w:trPr>
          <w:trHeight w:val="353"/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59BA47"/>
          </w:tcPr>
          <w:p w:rsidR="0066176C" w:rsidRPr="004D713B" w:rsidRDefault="0066176C" w:rsidP="00920A71">
            <w:pPr>
              <w:jc w:val="both"/>
              <w:rPr>
                <w:rFonts w:cs="Arial"/>
                <w:b/>
                <w:color w:val="FFFFFF" w:themeColor="background1"/>
                <w:sz w:val="24"/>
                <w:szCs w:val="18"/>
                <w:highlight w:val="yellow"/>
              </w:rPr>
            </w:pPr>
            <w:r w:rsidRPr="004D713B">
              <w:rPr>
                <w:rFonts w:cs="Arial"/>
                <w:b/>
                <w:color w:val="FFFFFF" w:themeColor="background1"/>
                <w:sz w:val="24"/>
                <w:szCs w:val="18"/>
              </w:rPr>
              <w:t>Baseline indicator value</w:t>
            </w:r>
            <w:r w:rsidR="009A4B31" w:rsidRPr="004D713B">
              <w:rPr>
                <w:rFonts w:cs="Arial"/>
                <w:b/>
                <w:color w:val="FFFFFF" w:themeColor="background1"/>
                <w:sz w:val="24"/>
                <w:szCs w:val="18"/>
              </w:rPr>
              <w:t>:</w:t>
            </w:r>
            <w:r w:rsidR="00C0795D">
              <w:rPr>
                <w:rFonts w:cs="Arial"/>
                <w:b/>
                <w:color w:val="FFFFFF" w:themeColor="background1"/>
                <w:sz w:val="24"/>
                <w:szCs w:val="18"/>
              </w:rPr>
              <w:t xml:space="preserve"> 52</w:t>
            </w:r>
            <w:r w:rsidRPr="004D713B">
              <w:rPr>
                <w:rFonts w:cs="Arial"/>
                <w:b/>
                <w:color w:val="FFFFFF" w:themeColor="background1"/>
                <w:sz w:val="24"/>
                <w:szCs w:val="18"/>
              </w:rPr>
              <w:t>%</w:t>
            </w:r>
          </w:p>
        </w:tc>
      </w:tr>
      <w:tr w:rsidR="00C0795D" w:rsidRPr="004D713B" w:rsidTr="00C0795D">
        <w:trPr>
          <w:trHeight w:val="353"/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C0795D" w:rsidRDefault="00B12A1E" w:rsidP="00920A71">
            <w:pPr>
              <w:jc w:val="both"/>
              <w:rPr>
                <w:rFonts w:cs="Arial"/>
                <w:b/>
                <w:color w:val="FFFFFF" w:themeColor="background1"/>
                <w:sz w:val="24"/>
                <w:szCs w:val="18"/>
              </w:rPr>
            </w:pPr>
            <w:r w:rsidRPr="00C0795D">
              <w:rPr>
                <w:noProof/>
                <w:shd w:val="clear" w:color="auto" w:fill="FFFFFF" w:themeFill="background1"/>
                <w:lang w:eastAsia="en-ZA"/>
              </w:rPr>
              <w:drawing>
                <wp:anchor distT="0" distB="0" distL="114300" distR="114300" simplePos="0" relativeHeight="251658240" behindDoc="0" locked="0" layoutInCell="1" allowOverlap="1" wp14:anchorId="48B905C6" wp14:editId="7D1F577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86995</wp:posOffset>
                  </wp:positionV>
                  <wp:extent cx="4572000" cy="1866900"/>
                  <wp:effectExtent l="0" t="0" r="19050" b="19050"/>
                  <wp:wrapNone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795D" w:rsidRDefault="00C0795D" w:rsidP="00920A71">
            <w:pPr>
              <w:jc w:val="both"/>
              <w:rPr>
                <w:rFonts w:cs="Arial"/>
                <w:b/>
                <w:color w:val="FFFFFF" w:themeColor="background1"/>
                <w:sz w:val="24"/>
                <w:szCs w:val="18"/>
              </w:rPr>
            </w:pPr>
          </w:p>
          <w:p w:rsidR="00C0795D" w:rsidRDefault="00C0795D" w:rsidP="00920A71">
            <w:pPr>
              <w:jc w:val="both"/>
              <w:rPr>
                <w:rFonts w:cs="Arial"/>
                <w:b/>
                <w:color w:val="FFFFFF" w:themeColor="background1"/>
                <w:sz w:val="24"/>
                <w:szCs w:val="18"/>
              </w:rPr>
            </w:pPr>
          </w:p>
          <w:p w:rsidR="007678CF" w:rsidRDefault="007678CF" w:rsidP="00920A71">
            <w:pPr>
              <w:jc w:val="both"/>
              <w:rPr>
                <w:rFonts w:cs="Arial"/>
                <w:b/>
                <w:color w:val="FFFFFF" w:themeColor="background1"/>
                <w:sz w:val="24"/>
                <w:szCs w:val="18"/>
              </w:rPr>
            </w:pPr>
          </w:p>
          <w:p w:rsidR="007678CF" w:rsidRDefault="007678CF" w:rsidP="00920A71">
            <w:pPr>
              <w:jc w:val="both"/>
              <w:rPr>
                <w:rFonts w:cs="Arial"/>
                <w:b/>
                <w:color w:val="FFFFFF" w:themeColor="background1"/>
                <w:sz w:val="24"/>
                <w:szCs w:val="18"/>
              </w:rPr>
            </w:pPr>
          </w:p>
          <w:p w:rsidR="007678CF" w:rsidRDefault="007678CF" w:rsidP="00920A71">
            <w:pPr>
              <w:jc w:val="both"/>
              <w:rPr>
                <w:rFonts w:cs="Arial"/>
                <w:b/>
                <w:color w:val="FFFFFF" w:themeColor="background1"/>
                <w:sz w:val="24"/>
                <w:szCs w:val="18"/>
              </w:rPr>
            </w:pPr>
          </w:p>
          <w:p w:rsidR="007678CF" w:rsidRDefault="007678CF" w:rsidP="00920A71">
            <w:pPr>
              <w:jc w:val="both"/>
              <w:rPr>
                <w:rFonts w:cs="Arial"/>
                <w:b/>
                <w:color w:val="FFFFFF" w:themeColor="background1"/>
                <w:sz w:val="24"/>
                <w:szCs w:val="18"/>
              </w:rPr>
            </w:pPr>
          </w:p>
          <w:p w:rsidR="007678CF" w:rsidRDefault="007678CF" w:rsidP="00920A71">
            <w:pPr>
              <w:jc w:val="both"/>
              <w:rPr>
                <w:rFonts w:cs="Arial"/>
                <w:b/>
                <w:color w:val="FFFFFF" w:themeColor="background1"/>
                <w:sz w:val="24"/>
                <w:szCs w:val="18"/>
              </w:rPr>
            </w:pPr>
          </w:p>
          <w:p w:rsidR="00C0795D" w:rsidRDefault="00C0795D" w:rsidP="007678CF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7678CF" w:rsidRDefault="007678CF" w:rsidP="007678CF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7678CF" w:rsidRDefault="007678CF" w:rsidP="007678CF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7678CF" w:rsidRDefault="007678CF" w:rsidP="007678CF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7678CF" w:rsidRDefault="007678CF" w:rsidP="007678CF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7678CF" w:rsidRPr="007678CF" w:rsidRDefault="007678CF" w:rsidP="007678CF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C0795D" w:rsidRDefault="007678CF" w:rsidP="007678CF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</w:pPr>
            <w:r w:rsidRPr="007678CF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>Source:  Green Drop System, Department of Water and Sanitation</w:t>
            </w:r>
          </w:p>
          <w:p w:rsidR="007678CF" w:rsidRDefault="007678CF" w:rsidP="007678CF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>*Base year = 2017</w:t>
            </w:r>
            <w:bookmarkStart w:id="4" w:name="_GoBack"/>
            <w:bookmarkEnd w:id="4"/>
          </w:p>
          <w:p w:rsidR="007678CF" w:rsidRPr="007678CF" w:rsidRDefault="007678CF" w:rsidP="007678CF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</w:pPr>
          </w:p>
        </w:tc>
      </w:tr>
      <w:tr w:rsidR="00A22ABF" w:rsidRPr="004D713B" w:rsidTr="00A22ABF">
        <w:trPr>
          <w:trHeight w:val="353"/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2ABF" w:rsidRDefault="00FF1360" w:rsidP="00FF1360">
            <w:pPr>
              <w:rPr>
                <w:rFonts w:cs="Arial"/>
                <w:b/>
                <w:sz w:val="18"/>
                <w:szCs w:val="18"/>
              </w:rPr>
            </w:pPr>
            <w:r w:rsidRPr="00FF1360">
              <w:rPr>
                <w:rFonts w:cs="Arial"/>
                <w:b/>
                <w:sz w:val="18"/>
                <w:szCs w:val="18"/>
              </w:rPr>
              <w:t>Comments:</w:t>
            </w:r>
          </w:p>
          <w:p w:rsidR="00B12A1E" w:rsidRDefault="00B12A1E" w:rsidP="00B12A1E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C0795D">
              <w:rPr>
                <w:rFonts w:cs="Arial"/>
                <w:sz w:val="18"/>
                <w:szCs w:val="18"/>
              </w:rPr>
              <w:t xml:space="preserve">While the definition conceptually includes wastewater generated from all economic activities, monitoring will </w:t>
            </w:r>
            <w:r>
              <w:rPr>
                <w:rFonts w:cs="Arial"/>
                <w:sz w:val="18"/>
                <w:szCs w:val="18"/>
              </w:rPr>
              <w:t xml:space="preserve">initially </w:t>
            </w:r>
            <w:r w:rsidRPr="00C0795D">
              <w:rPr>
                <w:rFonts w:cs="Arial"/>
                <w:sz w:val="18"/>
                <w:szCs w:val="18"/>
              </w:rPr>
              <w:t xml:space="preserve">focus on </w:t>
            </w:r>
            <w:r>
              <w:rPr>
                <w:rFonts w:cs="Arial"/>
                <w:sz w:val="18"/>
                <w:szCs w:val="18"/>
              </w:rPr>
              <w:t>the p</w:t>
            </w:r>
            <w:r w:rsidRPr="00C0795D">
              <w:rPr>
                <w:rFonts w:cs="Arial"/>
                <w:sz w:val="18"/>
                <w:szCs w:val="18"/>
              </w:rPr>
              <w:t xml:space="preserve">roportion of sewage </w:t>
            </w:r>
            <w:r>
              <w:rPr>
                <w:rFonts w:cs="Arial"/>
                <w:sz w:val="18"/>
                <w:szCs w:val="18"/>
              </w:rPr>
              <w:t xml:space="preserve">that is </w:t>
            </w:r>
            <w:r w:rsidRPr="00C0795D">
              <w:rPr>
                <w:rFonts w:cs="Arial"/>
                <w:sz w:val="18"/>
                <w:szCs w:val="18"/>
              </w:rPr>
              <w:t>safely treated by municipal S</w:t>
            </w:r>
            <w:r>
              <w:rPr>
                <w:rFonts w:cs="Arial"/>
                <w:sz w:val="18"/>
                <w:szCs w:val="18"/>
              </w:rPr>
              <w:t xml:space="preserve">ewage </w:t>
            </w:r>
            <w:r w:rsidRPr="00C0795D">
              <w:rPr>
                <w:rFonts w:cs="Arial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 xml:space="preserve">reatment </w:t>
            </w:r>
            <w:r w:rsidRPr="00C0795D">
              <w:rPr>
                <w:rFonts w:cs="Arial"/>
                <w:sz w:val="18"/>
                <w:szCs w:val="18"/>
              </w:rPr>
              <w:t>W</w:t>
            </w:r>
            <w:r>
              <w:rPr>
                <w:rFonts w:cs="Arial"/>
                <w:sz w:val="18"/>
                <w:szCs w:val="18"/>
              </w:rPr>
              <w:t>orks</w:t>
            </w:r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The Baseline indicator value measures the volume of water containing waste treated by municipal WWTW that is 90% compliant to a treatment standard for 8 selected water quality parameters</w:t>
            </w:r>
            <w:r>
              <w:rPr>
                <w:rFonts w:cs="Arial"/>
                <w:sz w:val="18"/>
                <w:szCs w:val="18"/>
              </w:rPr>
              <w:t xml:space="preserve"> over a 12 month period </w:t>
            </w:r>
            <w:r>
              <w:rPr>
                <w:rFonts w:cs="Arial"/>
                <w:sz w:val="18"/>
                <w:szCs w:val="18"/>
              </w:rPr>
              <w:t>(</w:t>
            </w:r>
            <w:r w:rsidRPr="00DC7722">
              <w:rPr>
                <w:rFonts w:cs="Arial"/>
                <w:sz w:val="18"/>
                <w:szCs w:val="18"/>
              </w:rPr>
              <w:t>ending January 2017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7678CF" w:rsidRPr="00DC7722" w:rsidRDefault="007678CF" w:rsidP="007678CF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DC7722">
              <w:rPr>
                <w:rFonts w:cs="Arial"/>
                <w:sz w:val="18"/>
                <w:szCs w:val="18"/>
              </w:rPr>
              <w:t>Data is based on results from 893 municipal Waste Water Treatment Works as captured in the departmental Green Drop System (GDS by municipalities)</w:t>
            </w:r>
            <w:r w:rsidR="00DC7722" w:rsidRPr="00DC7722">
              <w:rPr>
                <w:rFonts w:cs="Arial"/>
                <w:sz w:val="18"/>
                <w:szCs w:val="18"/>
              </w:rPr>
              <w:t>.</w:t>
            </w:r>
            <w:r w:rsidR="00AB3E2A" w:rsidRPr="00DC7722">
              <w:rPr>
                <w:rFonts w:cs="Arial"/>
                <w:sz w:val="18"/>
                <w:szCs w:val="18"/>
              </w:rPr>
              <w:t xml:space="preserve"> </w:t>
            </w:r>
            <w:r w:rsidRPr="00DC7722">
              <w:rPr>
                <w:rFonts w:cs="Arial"/>
                <w:sz w:val="18"/>
                <w:szCs w:val="18"/>
              </w:rPr>
              <w:t xml:space="preserve">The total volume of </w:t>
            </w:r>
            <w:r w:rsidR="008E5DF7">
              <w:rPr>
                <w:rFonts w:cs="Arial"/>
                <w:sz w:val="18"/>
                <w:szCs w:val="18"/>
              </w:rPr>
              <w:t>water containing waste</w:t>
            </w:r>
            <w:r w:rsidR="008E5DF7" w:rsidRPr="00DC7722">
              <w:rPr>
                <w:rFonts w:cs="Arial"/>
                <w:sz w:val="18"/>
                <w:szCs w:val="18"/>
              </w:rPr>
              <w:t xml:space="preserve"> </w:t>
            </w:r>
            <w:r w:rsidRPr="00DC7722">
              <w:rPr>
                <w:rFonts w:cs="Arial"/>
                <w:sz w:val="18"/>
                <w:szCs w:val="18"/>
              </w:rPr>
              <w:t xml:space="preserve">treated is calculated as the sum of the </w:t>
            </w:r>
            <w:r w:rsidRPr="00AB3E2A">
              <w:rPr>
                <w:rFonts w:cs="Arial"/>
                <w:i/>
                <w:sz w:val="18"/>
                <w:szCs w:val="18"/>
              </w:rPr>
              <w:t>operating capacit</w:t>
            </w:r>
            <w:r w:rsidR="008E5DF7" w:rsidRPr="00AB3E2A">
              <w:rPr>
                <w:rFonts w:cs="Arial"/>
                <w:i/>
                <w:sz w:val="18"/>
                <w:szCs w:val="18"/>
              </w:rPr>
              <w:t>ies</w:t>
            </w:r>
            <w:r w:rsidRPr="00DC7722">
              <w:rPr>
                <w:rFonts w:cs="Arial"/>
                <w:sz w:val="18"/>
                <w:szCs w:val="18"/>
              </w:rPr>
              <w:t xml:space="preserve"> of all waste water treatment works. Only 85% of municipal waste water treatment works updated this data element.</w:t>
            </w:r>
            <w:r w:rsidR="00FA6DDE">
              <w:rPr>
                <w:rFonts w:cs="Arial"/>
                <w:sz w:val="18"/>
                <w:szCs w:val="18"/>
              </w:rPr>
              <w:t xml:space="preserve">  </w:t>
            </w:r>
            <w:r w:rsidR="00DC7722" w:rsidRPr="00DC7722">
              <w:rPr>
                <w:rFonts w:cs="Arial"/>
                <w:sz w:val="18"/>
                <w:szCs w:val="18"/>
              </w:rPr>
              <w:t>In addition</w:t>
            </w:r>
            <w:r w:rsidR="008E5DF7">
              <w:rPr>
                <w:rFonts w:cs="Arial"/>
                <w:sz w:val="18"/>
                <w:szCs w:val="18"/>
              </w:rPr>
              <w:t>,</w:t>
            </w:r>
            <w:r w:rsidR="00DC7722" w:rsidRPr="00DC7722">
              <w:rPr>
                <w:rFonts w:cs="Arial"/>
                <w:sz w:val="18"/>
                <w:szCs w:val="18"/>
              </w:rPr>
              <w:t xml:space="preserve"> m</w:t>
            </w:r>
            <w:r w:rsidRPr="00DC7722">
              <w:rPr>
                <w:rFonts w:cs="Arial"/>
                <w:sz w:val="18"/>
                <w:szCs w:val="18"/>
              </w:rPr>
              <w:t>onitoring compliance for wastewater for the 12 month period ending January</w:t>
            </w:r>
            <w:r w:rsidR="008E5DF7">
              <w:rPr>
                <w:rFonts w:cs="Arial"/>
                <w:sz w:val="18"/>
                <w:szCs w:val="18"/>
              </w:rPr>
              <w:t> </w:t>
            </w:r>
            <w:r w:rsidRPr="00DC7722">
              <w:rPr>
                <w:rFonts w:cs="Arial"/>
                <w:sz w:val="18"/>
                <w:szCs w:val="18"/>
              </w:rPr>
              <w:t>2017 is reported at 45%.</w:t>
            </w:r>
          </w:p>
          <w:p w:rsidR="00DC7722" w:rsidRPr="00DC7722" w:rsidRDefault="00AB3E2A" w:rsidP="007678CF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Data presented represents the proportion of water containing waste that complies </w:t>
            </w:r>
            <w:proofErr w:type="gramStart"/>
            <w:r>
              <w:rPr>
                <w:rFonts w:cs="Arial"/>
                <w:sz w:val="18"/>
                <w:szCs w:val="18"/>
              </w:rPr>
              <w:t>to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either generic or special limits or the authorised limits (where the </w:t>
            </w:r>
            <w:proofErr w:type="spellStart"/>
            <w:r>
              <w:rPr>
                <w:rFonts w:cs="Arial"/>
                <w:sz w:val="18"/>
                <w:szCs w:val="18"/>
              </w:rPr>
              <w:t>authoristed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limits are in place) for 8 water quality parameters.</w:t>
            </w:r>
            <w:r w:rsidRPr="00DC7722">
              <w:rPr>
                <w:rFonts w:cs="Arial"/>
                <w:sz w:val="18"/>
                <w:szCs w:val="18"/>
              </w:rPr>
              <w:t xml:space="preserve"> </w:t>
            </w:r>
            <w:r w:rsidRPr="00DC7722">
              <w:rPr>
                <w:rFonts w:cs="Arial"/>
                <w:sz w:val="18"/>
                <w:szCs w:val="18"/>
              </w:rPr>
              <w:t>In term</w:t>
            </w:r>
            <w:r>
              <w:rPr>
                <w:rFonts w:cs="Arial"/>
                <w:sz w:val="18"/>
                <w:szCs w:val="18"/>
              </w:rPr>
              <w:t>s of</w:t>
            </w:r>
            <w:r w:rsidRPr="00DC7722">
              <w:rPr>
                <w:rFonts w:cs="Arial"/>
                <w:sz w:val="18"/>
                <w:szCs w:val="18"/>
              </w:rPr>
              <w:t xml:space="preserve"> discharge</w:t>
            </w:r>
            <w:r>
              <w:rPr>
                <w:rFonts w:cs="Arial"/>
                <w:sz w:val="18"/>
                <w:szCs w:val="18"/>
              </w:rPr>
              <w:t xml:space="preserve"> that is lawfully permitted</w:t>
            </w:r>
            <w:r w:rsidRPr="00DC7722">
              <w:rPr>
                <w:rFonts w:cs="Arial"/>
                <w:sz w:val="18"/>
                <w:szCs w:val="18"/>
              </w:rPr>
              <w:t>, 38% of South Africa’</w:t>
            </w:r>
            <w:r>
              <w:rPr>
                <w:rFonts w:cs="Arial"/>
                <w:sz w:val="18"/>
                <w:szCs w:val="18"/>
              </w:rPr>
              <w:t>s Municipal Waste Wa</w:t>
            </w:r>
            <w:r w:rsidRPr="00DC7722">
              <w:rPr>
                <w:rFonts w:cs="Arial"/>
                <w:sz w:val="18"/>
                <w:szCs w:val="18"/>
              </w:rPr>
              <w:t xml:space="preserve">ter Treatment works were authorised to discharge water containing waste (2017 data).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C7722">
              <w:rPr>
                <w:rFonts w:cs="Arial"/>
                <w:sz w:val="18"/>
                <w:szCs w:val="18"/>
              </w:rPr>
              <w:t xml:space="preserve">The volume discharged of the authorised works is </w:t>
            </w:r>
            <w:r>
              <w:rPr>
                <w:rFonts w:cs="Arial"/>
                <w:sz w:val="18"/>
                <w:szCs w:val="18"/>
              </w:rPr>
              <w:t xml:space="preserve">however </w:t>
            </w:r>
            <w:r w:rsidRPr="00DC7722">
              <w:rPr>
                <w:rFonts w:cs="Arial"/>
                <w:sz w:val="18"/>
                <w:szCs w:val="18"/>
              </w:rPr>
              <w:t>not available at present.</w:t>
            </w:r>
          </w:p>
          <w:p w:rsidR="00880A3D" w:rsidRPr="007678CF" w:rsidRDefault="007678CF" w:rsidP="00DC7722">
            <w:pPr>
              <w:spacing w:before="60"/>
              <w:jc w:val="both"/>
              <w:rPr>
                <w:rFonts w:cs="Arial"/>
                <w:b/>
                <w:sz w:val="18"/>
                <w:szCs w:val="18"/>
              </w:rPr>
            </w:pPr>
            <w:r w:rsidRPr="00DC7722">
              <w:rPr>
                <w:rFonts w:cs="Arial"/>
                <w:sz w:val="18"/>
                <w:szCs w:val="18"/>
              </w:rPr>
              <w:t xml:space="preserve">Household waste and waste from economic activities are not monitored separately. </w:t>
            </w:r>
            <w:r w:rsidR="00FA6DDE">
              <w:rPr>
                <w:rFonts w:cs="Arial"/>
                <w:sz w:val="18"/>
                <w:szCs w:val="18"/>
              </w:rPr>
              <w:t xml:space="preserve"> </w:t>
            </w:r>
            <w:r w:rsidRPr="00DC7722">
              <w:rPr>
                <w:rFonts w:cs="Arial"/>
                <w:sz w:val="18"/>
                <w:szCs w:val="18"/>
              </w:rPr>
              <w:t>Data on wastewater generated from hazardous industries is not available at present.</w:t>
            </w:r>
          </w:p>
        </w:tc>
      </w:tr>
      <w:bookmarkEnd w:id="0"/>
      <w:bookmarkEnd w:id="1"/>
      <w:bookmarkEnd w:id="2"/>
      <w:bookmarkEnd w:id="3"/>
    </w:tbl>
    <w:p w:rsidR="009636D1" w:rsidRPr="004D713B" w:rsidRDefault="009636D1" w:rsidP="00B12A1E">
      <w:pPr>
        <w:rPr>
          <w:rFonts w:cs="Arial"/>
          <w:sz w:val="15"/>
          <w:szCs w:val="15"/>
        </w:rPr>
      </w:pPr>
    </w:p>
    <w:sectPr w:rsidR="009636D1" w:rsidRPr="004D713B" w:rsidSect="006075D0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41" w:rsidRDefault="00262841">
      <w:pPr>
        <w:spacing w:after="0" w:line="240" w:lineRule="auto"/>
      </w:pPr>
      <w:r>
        <w:separator/>
      </w:r>
    </w:p>
  </w:endnote>
  <w:endnote w:type="continuationSeparator" w:id="0">
    <w:p w:rsidR="00262841" w:rsidRDefault="0026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607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2F72" w:rsidRDefault="00A22F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A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2F72" w:rsidRDefault="00A22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41" w:rsidRDefault="00262841">
      <w:pPr>
        <w:spacing w:after="0" w:line="240" w:lineRule="auto"/>
      </w:pPr>
      <w:r>
        <w:separator/>
      </w:r>
    </w:p>
  </w:footnote>
  <w:footnote w:type="continuationSeparator" w:id="0">
    <w:p w:rsidR="00262841" w:rsidRDefault="0026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25" w:rsidRDefault="002628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1" o:spid="_x0000_s2268" type="#_x0000_t136" style="position:absolute;margin-left:0;margin-top:0;width:397.7pt;height:238.6pt;rotation:315;z-index:-2510525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25" w:rsidRDefault="00262841" w:rsidP="003E4B9D">
    <w:pPr>
      <w:pStyle w:val="Header"/>
      <w:tabs>
        <w:tab w:val="clear" w:pos="4513"/>
        <w:tab w:val="clear" w:pos="9026"/>
        <w:tab w:val="left" w:pos="336"/>
        <w:tab w:val="left" w:pos="2268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2" o:spid="_x0000_s2269" type="#_x0000_t136" style="position:absolute;margin-left:0;margin-top:0;width:397.7pt;height:238.6pt;rotation:315;z-index:-2510504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21C25">
      <w:tab/>
    </w:r>
    <w:r w:rsidR="00621C2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25" w:rsidRDefault="002628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0" o:spid="_x0000_s2267" type="#_x0000_t136" style="position:absolute;margin-left:0;margin-top:0;width:397.7pt;height:238.6pt;rotation:315;z-index:-2510545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>
        <v:shape id="_x0000_s2107" type="#_x0000_t136" style="position:absolute;margin-left:0;margin-top:0;width:397.7pt;height:238.6pt;rotation:315;z-index:-251367936;mso-position-horizontal:center;mso-position-horizontal-relative:margin;mso-position-vertical:center;mso-position-vertical-relative:margin" o:allowincell="f" fillcolor="red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C1"/>
    <w:multiLevelType w:val="hybridMultilevel"/>
    <w:tmpl w:val="E174B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D7E40"/>
    <w:multiLevelType w:val="hybridMultilevel"/>
    <w:tmpl w:val="25688DC8"/>
    <w:lvl w:ilvl="0" w:tplc="637640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234DB"/>
    <w:multiLevelType w:val="hybridMultilevel"/>
    <w:tmpl w:val="CA8865EA"/>
    <w:lvl w:ilvl="0" w:tplc="C5141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07252"/>
    <w:multiLevelType w:val="hybridMultilevel"/>
    <w:tmpl w:val="2272E6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EA63F3"/>
    <w:multiLevelType w:val="multilevel"/>
    <w:tmpl w:val="6EF29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90708F"/>
    <w:multiLevelType w:val="hybridMultilevel"/>
    <w:tmpl w:val="CEAE60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9C0102"/>
    <w:multiLevelType w:val="hybridMultilevel"/>
    <w:tmpl w:val="5004FB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D6DE7"/>
    <w:multiLevelType w:val="hybridMultilevel"/>
    <w:tmpl w:val="1D127D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761FF"/>
    <w:multiLevelType w:val="hybridMultilevel"/>
    <w:tmpl w:val="EDE63180"/>
    <w:lvl w:ilvl="0" w:tplc="627EE5BC">
      <w:start w:val="1"/>
      <w:numFmt w:val="lowerLetter"/>
      <w:lvlText w:val="(%1)"/>
      <w:lvlJc w:val="left"/>
      <w:pPr>
        <w:ind w:left="1800" w:hanging="360"/>
      </w:pPr>
      <w:rPr>
        <w:rFonts w:ascii="Arial" w:eastAsiaTheme="minorHAns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8717AD"/>
    <w:multiLevelType w:val="hybridMultilevel"/>
    <w:tmpl w:val="E04415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33F35"/>
    <w:multiLevelType w:val="hybridMultilevel"/>
    <w:tmpl w:val="4246F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648E8"/>
    <w:multiLevelType w:val="hybridMultilevel"/>
    <w:tmpl w:val="693C99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A2576"/>
    <w:multiLevelType w:val="hybridMultilevel"/>
    <w:tmpl w:val="94200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0AA7"/>
    <w:multiLevelType w:val="hybridMultilevel"/>
    <w:tmpl w:val="0ACA33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F3EF8"/>
    <w:multiLevelType w:val="hybridMultilevel"/>
    <w:tmpl w:val="4244770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B836F7E"/>
    <w:multiLevelType w:val="hybridMultilevel"/>
    <w:tmpl w:val="F8682F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F70AF"/>
    <w:multiLevelType w:val="hybridMultilevel"/>
    <w:tmpl w:val="8C1EE574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4004E5"/>
    <w:multiLevelType w:val="hybridMultilevel"/>
    <w:tmpl w:val="D86E9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7823A9"/>
    <w:multiLevelType w:val="hybridMultilevel"/>
    <w:tmpl w:val="6F1AAE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27418"/>
    <w:multiLevelType w:val="hybridMultilevel"/>
    <w:tmpl w:val="B74E9B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C0E96"/>
    <w:multiLevelType w:val="hybridMultilevel"/>
    <w:tmpl w:val="CFD4B584"/>
    <w:lvl w:ilvl="0" w:tplc="03C6001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25DA1"/>
    <w:multiLevelType w:val="hybridMultilevel"/>
    <w:tmpl w:val="86FAB5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D3772"/>
    <w:multiLevelType w:val="hybridMultilevel"/>
    <w:tmpl w:val="9856A7E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E4E1F"/>
    <w:multiLevelType w:val="hybridMultilevel"/>
    <w:tmpl w:val="1834EC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7630E"/>
    <w:multiLevelType w:val="hybridMultilevel"/>
    <w:tmpl w:val="AF38A7E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9351C"/>
    <w:multiLevelType w:val="hybridMultilevel"/>
    <w:tmpl w:val="7E0C0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5155F"/>
    <w:multiLevelType w:val="multilevel"/>
    <w:tmpl w:val="35B6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B459A"/>
    <w:multiLevelType w:val="hybridMultilevel"/>
    <w:tmpl w:val="8E5E54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DF3272"/>
    <w:multiLevelType w:val="hybridMultilevel"/>
    <w:tmpl w:val="0E9CD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06A99"/>
    <w:multiLevelType w:val="hybridMultilevel"/>
    <w:tmpl w:val="892CF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F32B4"/>
    <w:multiLevelType w:val="hybridMultilevel"/>
    <w:tmpl w:val="DE227D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64463"/>
    <w:multiLevelType w:val="hybridMultilevel"/>
    <w:tmpl w:val="9522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5"/>
  </w:num>
  <w:num w:numId="4">
    <w:abstractNumId w:val="18"/>
  </w:num>
  <w:num w:numId="5">
    <w:abstractNumId w:val="10"/>
  </w:num>
  <w:num w:numId="6">
    <w:abstractNumId w:val="26"/>
  </w:num>
  <w:num w:numId="7">
    <w:abstractNumId w:val="28"/>
  </w:num>
  <w:num w:numId="8">
    <w:abstractNumId w:val="7"/>
  </w:num>
  <w:num w:numId="9">
    <w:abstractNumId w:val="17"/>
  </w:num>
  <w:num w:numId="10">
    <w:abstractNumId w:val="9"/>
  </w:num>
  <w:num w:numId="11">
    <w:abstractNumId w:val="30"/>
  </w:num>
  <w:num w:numId="12">
    <w:abstractNumId w:val="21"/>
  </w:num>
  <w:num w:numId="13">
    <w:abstractNumId w:val="24"/>
  </w:num>
  <w:num w:numId="14">
    <w:abstractNumId w:val="22"/>
  </w:num>
  <w:num w:numId="15">
    <w:abstractNumId w:val="23"/>
  </w:num>
  <w:num w:numId="16">
    <w:abstractNumId w:val="31"/>
  </w:num>
  <w:num w:numId="17">
    <w:abstractNumId w:val="14"/>
  </w:num>
  <w:num w:numId="18">
    <w:abstractNumId w:val="0"/>
  </w:num>
  <w:num w:numId="19">
    <w:abstractNumId w:val="1"/>
  </w:num>
  <w:num w:numId="20">
    <w:abstractNumId w:val="6"/>
  </w:num>
  <w:num w:numId="21">
    <w:abstractNumId w:val="19"/>
  </w:num>
  <w:num w:numId="22">
    <w:abstractNumId w:val="13"/>
  </w:num>
  <w:num w:numId="23">
    <w:abstractNumId w:val="25"/>
  </w:num>
  <w:num w:numId="24">
    <w:abstractNumId w:val="29"/>
  </w:num>
  <w:num w:numId="25">
    <w:abstractNumId w:val="11"/>
  </w:num>
  <w:num w:numId="26">
    <w:abstractNumId w:val="4"/>
  </w:num>
  <w:num w:numId="27">
    <w:abstractNumId w:val="8"/>
  </w:num>
  <w:num w:numId="28">
    <w:abstractNumId w:val="16"/>
  </w:num>
  <w:num w:numId="29">
    <w:abstractNumId w:val="12"/>
  </w:num>
  <w:num w:numId="30">
    <w:abstractNumId w:val="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2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53124aa2-6b0c-4e71-afa1-b53caa1a623c"/>
  </w:docVars>
  <w:rsids>
    <w:rsidRoot w:val="009C03C9"/>
    <w:rsid w:val="00003CD4"/>
    <w:rsid w:val="000040B3"/>
    <w:rsid w:val="000041DE"/>
    <w:rsid w:val="00004A8C"/>
    <w:rsid w:val="000060BC"/>
    <w:rsid w:val="00006632"/>
    <w:rsid w:val="0000719A"/>
    <w:rsid w:val="00010BE8"/>
    <w:rsid w:val="00012785"/>
    <w:rsid w:val="000135F5"/>
    <w:rsid w:val="00013726"/>
    <w:rsid w:val="00013F9D"/>
    <w:rsid w:val="0001471F"/>
    <w:rsid w:val="00014790"/>
    <w:rsid w:val="00014FC4"/>
    <w:rsid w:val="00015747"/>
    <w:rsid w:val="00021CBA"/>
    <w:rsid w:val="00021F9F"/>
    <w:rsid w:val="000233AF"/>
    <w:rsid w:val="000237BC"/>
    <w:rsid w:val="00023AA1"/>
    <w:rsid w:val="00024CD3"/>
    <w:rsid w:val="00025442"/>
    <w:rsid w:val="000254E0"/>
    <w:rsid w:val="000260A9"/>
    <w:rsid w:val="0002620E"/>
    <w:rsid w:val="00026AE8"/>
    <w:rsid w:val="00030F1C"/>
    <w:rsid w:val="0003158D"/>
    <w:rsid w:val="0003487C"/>
    <w:rsid w:val="000349CE"/>
    <w:rsid w:val="00034C71"/>
    <w:rsid w:val="00035A06"/>
    <w:rsid w:val="00035CC3"/>
    <w:rsid w:val="00035DCB"/>
    <w:rsid w:val="000373EA"/>
    <w:rsid w:val="0004170A"/>
    <w:rsid w:val="00044940"/>
    <w:rsid w:val="000454F6"/>
    <w:rsid w:val="000468FB"/>
    <w:rsid w:val="000469FD"/>
    <w:rsid w:val="00046A2A"/>
    <w:rsid w:val="000473E2"/>
    <w:rsid w:val="00051E7F"/>
    <w:rsid w:val="00052A57"/>
    <w:rsid w:val="0005352A"/>
    <w:rsid w:val="00055EFD"/>
    <w:rsid w:val="0005654B"/>
    <w:rsid w:val="000577D4"/>
    <w:rsid w:val="000606B7"/>
    <w:rsid w:val="0006307E"/>
    <w:rsid w:val="00063729"/>
    <w:rsid w:val="00063C1D"/>
    <w:rsid w:val="00063C4F"/>
    <w:rsid w:val="00064045"/>
    <w:rsid w:val="00064243"/>
    <w:rsid w:val="00065CFA"/>
    <w:rsid w:val="00065E93"/>
    <w:rsid w:val="0006670E"/>
    <w:rsid w:val="000667F0"/>
    <w:rsid w:val="00066DF1"/>
    <w:rsid w:val="000721BB"/>
    <w:rsid w:val="00073984"/>
    <w:rsid w:val="00074931"/>
    <w:rsid w:val="00074D31"/>
    <w:rsid w:val="00076FEA"/>
    <w:rsid w:val="00080357"/>
    <w:rsid w:val="0008061E"/>
    <w:rsid w:val="00080A0E"/>
    <w:rsid w:val="00083440"/>
    <w:rsid w:val="00083883"/>
    <w:rsid w:val="0008405A"/>
    <w:rsid w:val="00084376"/>
    <w:rsid w:val="00084E7B"/>
    <w:rsid w:val="00085AF8"/>
    <w:rsid w:val="00086409"/>
    <w:rsid w:val="000875AA"/>
    <w:rsid w:val="000904FE"/>
    <w:rsid w:val="00090B29"/>
    <w:rsid w:val="00091FF5"/>
    <w:rsid w:val="00093563"/>
    <w:rsid w:val="000944D7"/>
    <w:rsid w:val="00094666"/>
    <w:rsid w:val="00094A30"/>
    <w:rsid w:val="000951D7"/>
    <w:rsid w:val="000952D6"/>
    <w:rsid w:val="0009582D"/>
    <w:rsid w:val="00095938"/>
    <w:rsid w:val="000A22C3"/>
    <w:rsid w:val="000A302D"/>
    <w:rsid w:val="000A42B1"/>
    <w:rsid w:val="000A4509"/>
    <w:rsid w:val="000A45CE"/>
    <w:rsid w:val="000A49A9"/>
    <w:rsid w:val="000A520D"/>
    <w:rsid w:val="000A5CEE"/>
    <w:rsid w:val="000A61AF"/>
    <w:rsid w:val="000A77E4"/>
    <w:rsid w:val="000B02C3"/>
    <w:rsid w:val="000B2B5E"/>
    <w:rsid w:val="000B33C7"/>
    <w:rsid w:val="000B3D45"/>
    <w:rsid w:val="000B4616"/>
    <w:rsid w:val="000B4A21"/>
    <w:rsid w:val="000B655C"/>
    <w:rsid w:val="000C09BA"/>
    <w:rsid w:val="000C125E"/>
    <w:rsid w:val="000C371D"/>
    <w:rsid w:val="000C3BB4"/>
    <w:rsid w:val="000C4170"/>
    <w:rsid w:val="000C5130"/>
    <w:rsid w:val="000C530D"/>
    <w:rsid w:val="000C552A"/>
    <w:rsid w:val="000D10E4"/>
    <w:rsid w:val="000D1132"/>
    <w:rsid w:val="000D22DB"/>
    <w:rsid w:val="000D3C00"/>
    <w:rsid w:val="000D4333"/>
    <w:rsid w:val="000D6362"/>
    <w:rsid w:val="000D6DDD"/>
    <w:rsid w:val="000D6FA9"/>
    <w:rsid w:val="000D7669"/>
    <w:rsid w:val="000E1257"/>
    <w:rsid w:val="000E2DE2"/>
    <w:rsid w:val="000E2F2E"/>
    <w:rsid w:val="000E3528"/>
    <w:rsid w:val="000E482B"/>
    <w:rsid w:val="000E4C86"/>
    <w:rsid w:val="000E68CE"/>
    <w:rsid w:val="000E68EC"/>
    <w:rsid w:val="000E7793"/>
    <w:rsid w:val="000F064E"/>
    <w:rsid w:val="000F0837"/>
    <w:rsid w:val="000F0A04"/>
    <w:rsid w:val="000F4FFA"/>
    <w:rsid w:val="000F6F9A"/>
    <w:rsid w:val="00100EB6"/>
    <w:rsid w:val="00101197"/>
    <w:rsid w:val="001042F6"/>
    <w:rsid w:val="00105627"/>
    <w:rsid w:val="001065F8"/>
    <w:rsid w:val="00107A7A"/>
    <w:rsid w:val="00107DEB"/>
    <w:rsid w:val="00112228"/>
    <w:rsid w:val="00112FE2"/>
    <w:rsid w:val="0011303D"/>
    <w:rsid w:val="001139F7"/>
    <w:rsid w:val="00113D25"/>
    <w:rsid w:val="001162C9"/>
    <w:rsid w:val="00116A37"/>
    <w:rsid w:val="00116D0A"/>
    <w:rsid w:val="001174A2"/>
    <w:rsid w:val="001202DC"/>
    <w:rsid w:val="00120701"/>
    <w:rsid w:val="0012130A"/>
    <w:rsid w:val="0012301D"/>
    <w:rsid w:val="00126C07"/>
    <w:rsid w:val="00127B0E"/>
    <w:rsid w:val="00130AE5"/>
    <w:rsid w:val="00130BE3"/>
    <w:rsid w:val="00132DA2"/>
    <w:rsid w:val="001349E4"/>
    <w:rsid w:val="00135231"/>
    <w:rsid w:val="0013646D"/>
    <w:rsid w:val="00136CBB"/>
    <w:rsid w:val="001374C0"/>
    <w:rsid w:val="00137EFB"/>
    <w:rsid w:val="0014049F"/>
    <w:rsid w:val="00140C44"/>
    <w:rsid w:val="001411D9"/>
    <w:rsid w:val="0014127C"/>
    <w:rsid w:val="001425D2"/>
    <w:rsid w:val="00147DCC"/>
    <w:rsid w:val="0015008C"/>
    <w:rsid w:val="00150B05"/>
    <w:rsid w:val="00152164"/>
    <w:rsid w:val="00152570"/>
    <w:rsid w:val="00155A66"/>
    <w:rsid w:val="00155F93"/>
    <w:rsid w:val="00156E91"/>
    <w:rsid w:val="001627D7"/>
    <w:rsid w:val="001652C5"/>
    <w:rsid w:val="00167454"/>
    <w:rsid w:val="001705A5"/>
    <w:rsid w:val="001723D9"/>
    <w:rsid w:val="0017447F"/>
    <w:rsid w:val="001758EE"/>
    <w:rsid w:val="00176322"/>
    <w:rsid w:val="0018496C"/>
    <w:rsid w:val="001855EA"/>
    <w:rsid w:val="00185B2B"/>
    <w:rsid w:val="00185DBD"/>
    <w:rsid w:val="00187083"/>
    <w:rsid w:val="00187F16"/>
    <w:rsid w:val="001906C3"/>
    <w:rsid w:val="0019098A"/>
    <w:rsid w:val="00190B91"/>
    <w:rsid w:val="00191CFA"/>
    <w:rsid w:val="00193A27"/>
    <w:rsid w:val="0019470F"/>
    <w:rsid w:val="001A0067"/>
    <w:rsid w:val="001A0808"/>
    <w:rsid w:val="001A0BEE"/>
    <w:rsid w:val="001A2E26"/>
    <w:rsid w:val="001A35F9"/>
    <w:rsid w:val="001A49AA"/>
    <w:rsid w:val="001A53B2"/>
    <w:rsid w:val="001A5EAE"/>
    <w:rsid w:val="001A7729"/>
    <w:rsid w:val="001B00C7"/>
    <w:rsid w:val="001B24A0"/>
    <w:rsid w:val="001B2661"/>
    <w:rsid w:val="001B6C04"/>
    <w:rsid w:val="001B7E73"/>
    <w:rsid w:val="001C087A"/>
    <w:rsid w:val="001C16FD"/>
    <w:rsid w:val="001C3CE0"/>
    <w:rsid w:val="001C4831"/>
    <w:rsid w:val="001C5575"/>
    <w:rsid w:val="001C5CE7"/>
    <w:rsid w:val="001C6F8E"/>
    <w:rsid w:val="001D173D"/>
    <w:rsid w:val="001D1B3D"/>
    <w:rsid w:val="001D1EA2"/>
    <w:rsid w:val="001D35D3"/>
    <w:rsid w:val="001D44B3"/>
    <w:rsid w:val="001D4E84"/>
    <w:rsid w:val="001D76E9"/>
    <w:rsid w:val="001E0126"/>
    <w:rsid w:val="001E04DA"/>
    <w:rsid w:val="001E1809"/>
    <w:rsid w:val="001E6687"/>
    <w:rsid w:val="001E66E1"/>
    <w:rsid w:val="001E7291"/>
    <w:rsid w:val="001E75F8"/>
    <w:rsid w:val="001F0FCB"/>
    <w:rsid w:val="001F2157"/>
    <w:rsid w:val="001F2CC4"/>
    <w:rsid w:val="001F5352"/>
    <w:rsid w:val="001F642F"/>
    <w:rsid w:val="001F69A4"/>
    <w:rsid w:val="001F6C87"/>
    <w:rsid w:val="001F7122"/>
    <w:rsid w:val="00200A94"/>
    <w:rsid w:val="00200AA4"/>
    <w:rsid w:val="00200DF8"/>
    <w:rsid w:val="00202751"/>
    <w:rsid w:val="00202F96"/>
    <w:rsid w:val="00204A8F"/>
    <w:rsid w:val="00204DF3"/>
    <w:rsid w:val="00205804"/>
    <w:rsid w:val="0020651E"/>
    <w:rsid w:val="0020767E"/>
    <w:rsid w:val="00207703"/>
    <w:rsid w:val="00211513"/>
    <w:rsid w:val="00211A3F"/>
    <w:rsid w:val="0021400B"/>
    <w:rsid w:val="00215010"/>
    <w:rsid w:val="002165A9"/>
    <w:rsid w:val="00216D39"/>
    <w:rsid w:val="002203E8"/>
    <w:rsid w:val="00221296"/>
    <w:rsid w:val="002213A5"/>
    <w:rsid w:val="00222196"/>
    <w:rsid w:val="002224FF"/>
    <w:rsid w:val="00223810"/>
    <w:rsid w:val="00223A78"/>
    <w:rsid w:val="00226156"/>
    <w:rsid w:val="00226594"/>
    <w:rsid w:val="00227A67"/>
    <w:rsid w:val="00227B01"/>
    <w:rsid w:val="002320D3"/>
    <w:rsid w:val="00233023"/>
    <w:rsid w:val="002331B1"/>
    <w:rsid w:val="00233CC2"/>
    <w:rsid w:val="00235073"/>
    <w:rsid w:val="002368A6"/>
    <w:rsid w:val="00237216"/>
    <w:rsid w:val="00237AD8"/>
    <w:rsid w:val="002429C8"/>
    <w:rsid w:val="00242C6F"/>
    <w:rsid w:val="00242F2D"/>
    <w:rsid w:val="00244A30"/>
    <w:rsid w:val="00244E0D"/>
    <w:rsid w:val="00245B61"/>
    <w:rsid w:val="00245E10"/>
    <w:rsid w:val="002504E5"/>
    <w:rsid w:val="00251233"/>
    <w:rsid w:val="002519E1"/>
    <w:rsid w:val="00251CAE"/>
    <w:rsid w:val="00252FF9"/>
    <w:rsid w:val="002530CF"/>
    <w:rsid w:val="002533E3"/>
    <w:rsid w:val="002536AC"/>
    <w:rsid w:val="00255112"/>
    <w:rsid w:val="0025654A"/>
    <w:rsid w:val="00262489"/>
    <w:rsid w:val="00262841"/>
    <w:rsid w:val="00262A17"/>
    <w:rsid w:val="00262C65"/>
    <w:rsid w:val="002638E4"/>
    <w:rsid w:val="00263A50"/>
    <w:rsid w:val="00263CFD"/>
    <w:rsid w:val="00264488"/>
    <w:rsid w:val="00264B30"/>
    <w:rsid w:val="00264F50"/>
    <w:rsid w:val="00264FDD"/>
    <w:rsid w:val="002659EA"/>
    <w:rsid w:val="0026719A"/>
    <w:rsid w:val="002710E8"/>
    <w:rsid w:val="002713BD"/>
    <w:rsid w:val="00274101"/>
    <w:rsid w:val="002748B3"/>
    <w:rsid w:val="002755BD"/>
    <w:rsid w:val="00275650"/>
    <w:rsid w:val="00276522"/>
    <w:rsid w:val="002777A2"/>
    <w:rsid w:val="00277CDB"/>
    <w:rsid w:val="0028139A"/>
    <w:rsid w:val="00281E65"/>
    <w:rsid w:val="002842BE"/>
    <w:rsid w:val="00284977"/>
    <w:rsid w:val="0028693B"/>
    <w:rsid w:val="002873B0"/>
    <w:rsid w:val="0029048E"/>
    <w:rsid w:val="002928A6"/>
    <w:rsid w:val="00292A33"/>
    <w:rsid w:val="00293016"/>
    <w:rsid w:val="0029440F"/>
    <w:rsid w:val="0029468B"/>
    <w:rsid w:val="002976B3"/>
    <w:rsid w:val="002A0397"/>
    <w:rsid w:val="002A06BA"/>
    <w:rsid w:val="002A0F39"/>
    <w:rsid w:val="002A10EB"/>
    <w:rsid w:val="002A14E5"/>
    <w:rsid w:val="002A1DEE"/>
    <w:rsid w:val="002A42A6"/>
    <w:rsid w:val="002A4FB4"/>
    <w:rsid w:val="002A5BCD"/>
    <w:rsid w:val="002A710C"/>
    <w:rsid w:val="002A7F70"/>
    <w:rsid w:val="002B00AF"/>
    <w:rsid w:val="002B10F5"/>
    <w:rsid w:val="002B15E2"/>
    <w:rsid w:val="002B28D0"/>
    <w:rsid w:val="002B36DB"/>
    <w:rsid w:val="002B43DB"/>
    <w:rsid w:val="002B4513"/>
    <w:rsid w:val="002B608F"/>
    <w:rsid w:val="002B6379"/>
    <w:rsid w:val="002B6C6C"/>
    <w:rsid w:val="002B7A99"/>
    <w:rsid w:val="002B7F70"/>
    <w:rsid w:val="002C338F"/>
    <w:rsid w:val="002C3BA1"/>
    <w:rsid w:val="002C3BF5"/>
    <w:rsid w:val="002C3E1B"/>
    <w:rsid w:val="002C4CEC"/>
    <w:rsid w:val="002C63FB"/>
    <w:rsid w:val="002C6889"/>
    <w:rsid w:val="002D066C"/>
    <w:rsid w:val="002D2BDA"/>
    <w:rsid w:val="002D2CBE"/>
    <w:rsid w:val="002D349C"/>
    <w:rsid w:val="002D41CA"/>
    <w:rsid w:val="002D45BD"/>
    <w:rsid w:val="002D5926"/>
    <w:rsid w:val="002D6AA6"/>
    <w:rsid w:val="002D7013"/>
    <w:rsid w:val="002D7820"/>
    <w:rsid w:val="002D7ABC"/>
    <w:rsid w:val="002E077A"/>
    <w:rsid w:val="002E197A"/>
    <w:rsid w:val="002E1C0E"/>
    <w:rsid w:val="002E1C81"/>
    <w:rsid w:val="002E2486"/>
    <w:rsid w:val="002E2B18"/>
    <w:rsid w:val="002E39D1"/>
    <w:rsid w:val="002E4B0A"/>
    <w:rsid w:val="002E6DC3"/>
    <w:rsid w:val="002F01A8"/>
    <w:rsid w:val="002F093A"/>
    <w:rsid w:val="002F0F02"/>
    <w:rsid w:val="002F2710"/>
    <w:rsid w:val="002F315F"/>
    <w:rsid w:val="002F32C8"/>
    <w:rsid w:val="002F3FAE"/>
    <w:rsid w:val="002F4656"/>
    <w:rsid w:val="002F470B"/>
    <w:rsid w:val="002F4BB6"/>
    <w:rsid w:val="002F597F"/>
    <w:rsid w:val="002F5AB2"/>
    <w:rsid w:val="003001DB"/>
    <w:rsid w:val="00301C97"/>
    <w:rsid w:val="00301FBE"/>
    <w:rsid w:val="00302698"/>
    <w:rsid w:val="003046D7"/>
    <w:rsid w:val="00305164"/>
    <w:rsid w:val="0030556B"/>
    <w:rsid w:val="003055B6"/>
    <w:rsid w:val="0030573E"/>
    <w:rsid w:val="003108C6"/>
    <w:rsid w:val="00310C05"/>
    <w:rsid w:val="00310DED"/>
    <w:rsid w:val="00310E6A"/>
    <w:rsid w:val="00310FEF"/>
    <w:rsid w:val="00312684"/>
    <w:rsid w:val="00313BFE"/>
    <w:rsid w:val="00313E28"/>
    <w:rsid w:val="00316196"/>
    <w:rsid w:val="00316E6A"/>
    <w:rsid w:val="00317376"/>
    <w:rsid w:val="0031775D"/>
    <w:rsid w:val="00317F0A"/>
    <w:rsid w:val="00321766"/>
    <w:rsid w:val="003221DB"/>
    <w:rsid w:val="003229EA"/>
    <w:rsid w:val="00322BB2"/>
    <w:rsid w:val="0032494E"/>
    <w:rsid w:val="003314A8"/>
    <w:rsid w:val="00332435"/>
    <w:rsid w:val="00332869"/>
    <w:rsid w:val="0033350D"/>
    <w:rsid w:val="00334CBA"/>
    <w:rsid w:val="00335F17"/>
    <w:rsid w:val="0034506F"/>
    <w:rsid w:val="0034540B"/>
    <w:rsid w:val="003472D4"/>
    <w:rsid w:val="00352A08"/>
    <w:rsid w:val="003539AD"/>
    <w:rsid w:val="00353BD4"/>
    <w:rsid w:val="0035407D"/>
    <w:rsid w:val="0035735A"/>
    <w:rsid w:val="00360F08"/>
    <w:rsid w:val="00363BE4"/>
    <w:rsid w:val="003648D0"/>
    <w:rsid w:val="003655C3"/>
    <w:rsid w:val="003659A4"/>
    <w:rsid w:val="00365DC1"/>
    <w:rsid w:val="003660A0"/>
    <w:rsid w:val="003666A7"/>
    <w:rsid w:val="0037068F"/>
    <w:rsid w:val="00371822"/>
    <w:rsid w:val="003725EF"/>
    <w:rsid w:val="00372EDF"/>
    <w:rsid w:val="0037456B"/>
    <w:rsid w:val="00374586"/>
    <w:rsid w:val="0037659B"/>
    <w:rsid w:val="00377168"/>
    <w:rsid w:val="00377A21"/>
    <w:rsid w:val="003800E1"/>
    <w:rsid w:val="00380210"/>
    <w:rsid w:val="00380507"/>
    <w:rsid w:val="00380E6E"/>
    <w:rsid w:val="00382E4B"/>
    <w:rsid w:val="00383384"/>
    <w:rsid w:val="003837FC"/>
    <w:rsid w:val="00383AB0"/>
    <w:rsid w:val="00386004"/>
    <w:rsid w:val="0038604A"/>
    <w:rsid w:val="00386ABE"/>
    <w:rsid w:val="00386EB3"/>
    <w:rsid w:val="0039001E"/>
    <w:rsid w:val="00390D30"/>
    <w:rsid w:val="0039175E"/>
    <w:rsid w:val="00391A4C"/>
    <w:rsid w:val="00392658"/>
    <w:rsid w:val="003937DF"/>
    <w:rsid w:val="00394A71"/>
    <w:rsid w:val="0039648A"/>
    <w:rsid w:val="003A05A7"/>
    <w:rsid w:val="003A0BB7"/>
    <w:rsid w:val="003A1731"/>
    <w:rsid w:val="003A1F90"/>
    <w:rsid w:val="003A2ACE"/>
    <w:rsid w:val="003A302D"/>
    <w:rsid w:val="003A41E6"/>
    <w:rsid w:val="003A42B7"/>
    <w:rsid w:val="003A434A"/>
    <w:rsid w:val="003A4D77"/>
    <w:rsid w:val="003A4E3C"/>
    <w:rsid w:val="003A51F2"/>
    <w:rsid w:val="003A5418"/>
    <w:rsid w:val="003A5D20"/>
    <w:rsid w:val="003A65EA"/>
    <w:rsid w:val="003A7278"/>
    <w:rsid w:val="003A767E"/>
    <w:rsid w:val="003A77A2"/>
    <w:rsid w:val="003B01C1"/>
    <w:rsid w:val="003B05A5"/>
    <w:rsid w:val="003B0B7F"/>
    <w:rsid w:val="003B213D"/>
    <w:rsid w:val="003B2421"/>
    <w:rsid w:val="003B572E"/>
    <w:rsid w:val="003B636E"/>
    <w:rsid w:val="003B6AC1"/>
    <w:rsid w:val="003B7438"/>
    <w:rsid w:val="003B7CB7"/>
    <w:rsid w:val="003C02B8"/>
    <w:rsid w:val="003C2F25"/>
    <w:rsid w:val="003C384C"/>
    <w:rsid w:val="003C43FB"/>
    <w:rsid w:val="003C4C84"/>
    <w:rsid w:val="003C5708"/>
    <w:rsid w:val="003C5D29"/>
    <w:rsid w:val="003C65EC"/>
    <w:rsid w:val="003C67D3"/>
    <w:rsid w:val="003D2DB9"/>
    <w:rsid w:val="003D5C64"/>
    <w:rsid w:val="003D5CF1"/>
    <w:rsid w:val="003D5F93"/>
    <w:rsid w:val="003D6F50"/>
    <w:rsid w:val="003D6FA2"/>
    <w:rsid w:val="003D7BEB"/>
    <w:rsid w:val="003E0524"/>
    <w:rsid w:val="003E0A5D"/>
    <w:rsid w:val="003E211E"/>
    <w:rsid w:val="003E2ABD"/>
    <w:rsid w:val="003E47F1"/>
    <w:rsid w:val="003E4B9D"/>
    <w:rsid w:val="003E656A"/>
    <w:rsid w:val="003E7BD6"/>
    <w:rsid w:val="003F0AAE"/>
    <w:rsid w:val="003F1010"/>
    <w:rsid w:val="003F48B5"/>
    <w:rsid w:val="003F4BB3"/>
    <w:rsid w:val="003F6B6E"/>
    <w:rsid w:val="003F6F80"/>
    <w:rsid w:val="003F7CAE"/>
    <w:rsid w:val="003F7CB6"/>
    <w:rsid w:val="003F7EA5"/>
    <w:rsid w:val="00402D4D"/>
    <w:rsid w:val="0040339B"/>
    <w:rsid w:val="004037FC"/>
    <w:rsid w:val="004102D2"/>
    <w:rsid w:val="00410E27"/>
    <w:rsid w:val="00412113"/>
    <w:rsid w:val="00412727"/>
    <w:rsid w:val="00412954"/>
    <w:rsid w:val="00412B08"/>
    <w:rsid w:val="00412CCC"/>
    <w:rsid w:val="00413366"/>
    <w:rsid w:val="00413385"/>
    <w:rsid w:val="00413945"/>
    <w:rsid w:val="00416743"/>
    <w:rsid w:val="004170AE"/>
    <w:rsid w:val="00417AAA"/>
    <w:rsid w:val="00417C7D"/>
    <w:rsid w:val="0042025E"/>
    <w:rsid w:val="0042152B"/>
    <w:rsid w:val="00421DF9"/>
    <w:rsid w:val="004226B5"/>
    <w:rsid w:val="00422A36"/>
    <w:rsid w:val="00422D95"/>
    <w:rsid w:val="0042504F"/>
    <w:rsid w:val="00425736"/>
    <w:rsid w:val="004272AC"/>
    <w:rsid w:val="004279C4"/>
    <w:rsid w:val="00427AC4"/>
    <w:rsid w:val="004301CD"/>
    <w:rsid w:val="004318E8"/>
    <w:rsid w:val="00436009"/>
    <w:rsid w:val="00436331"/>
    <w:rsid w:val="00437BB2"/>
    <w:rsid w:val="00440383"/>
    <w:rsid w:val="00441017"/>
    <w:rsid w:val="004414DC"/>
    <w:rsid w:val="0044228E"/>
    <w:rsid w:val="00442DF7"/>
    <w:rsid w:val="00443A57"/>
    <w:rsid w:val="00443F80"/>
    <w:rsid w:val="00444BAB"/>
    <w:rsid w:val="004458E6"/>
    <w:rsid w:val="00446100"/>
    <w:rsid w:val="0044752C"/>
    <w:rsid w:val="00452212"/>
    <w:rsid w:val="00452AE8"/>
    <w:rsid w:val="00453C35"/>
    <w:rsid w:val="004546CF"/>
    <w:rsid w:val="004548B6"/>
    <w:rsid w:val="00455311"/>
    <w:rsid w:val="00457C73"/>
    <w:rsid w:val="00457E87"/>
    <w:rsid w:val="004608AC"/>
    <w:rsid w:val="00460DA5"/>
    <w:rsid w:val="00461590"/>
    <w:rsid w:val="0046341B"/>
    <w:rsid w:val="00470039"/>
    <w:rsid w:val="0047035D"/>
    <w:rsid w:val="004710E2"/>
    <w:rsid w:val="004731BB"/>
    <w:rsid w:val="00474399"/>
    <w:rsid w:val="004756D1"/>
    <w:rsid w:val="00475F64"/>
    <w:rsid w:val="004764B7"/>
    <w:rsid w:val="004774A0"/>
    <w:rsid w:val="00481D96"/>
    <w:rsid w:val="0048217E"/>
    <w:rsid w:val="00483219"/>
    <w:rsid w:val="004840E3"/>
    <w:rsid w:val="00484EA6"/>
    <w:rsid w:val="00485096"/>
    <w:rsid w:val="00486A3C"/>
    <w:rsid w:val="00486D44"/>
    <w:rsid w:val="004904EA"/>
    <w:rsid w:val="00491630"/>
    <w:rsid w:val="004927AC"/>
    <w:rsid w:val="004928D0"/>
    <w:rsid w:val="0049336A"/>
    <w:rsid w:val="00493BB7"/>
    <w:rsid w:val="004951FA"/>
    <w:rsid w:val="00495642"/>
    <w:rsid w:val="00495F41"/>
    <w:rsid w:val="004975E3"/>
    <w:rsid w:val="004A124A"/>
    <w:rsid w:val="004A23DD"/>
    <w:rsid w:val="004A23F5"/>
    <w:rsid w:val="004A2520"/>
    <w:rsid w:val="004A2854"/>
    <w:rsid w:val="004A3048"/>
    <w:rsid w:val="004A40EB"/>
    <w:rsid w:val="004A48AD"/>
    <w:rsid w:val="004A4ACD"/>
    <w:rsid w:val="004A50C4"/>
    <w:rsid w:val="004A5E45"/>
    <w:rsid w:val="004A70BD"/>
    <w:rsid w:val="004A7B4D"/>
    <w:rsid w:val="004B3401"/>
    <w:rsid w:val="004B39F9"/>
    <w:rsid w:val="004B3F97"/>
    <w:rsid w:val="004B5879"/>
    <w:rsid w:val="004B6072"/>
    <w:rsid w:val="004B60EC"/>
    <w:rsid w:val="004B69C4"/>
    <w:rsid w:val="004B747C"/>
    <w:rsid w:val="004B78C0"/>
    <w:rsid w:val="004C01A9"/>
    <w:rsid w:val="004C2300"/>
    <w:rsid w:val="004C4308"/>
    <w:rsid w:val="004C57BF"/>
    <w:rsid w:val="004C7766"/>
    <w:rsid w:val="004D44D8"/>
    <w:rsid w:val="004D55F8"/>
    <w:rsid w:val="004D713B"/>
    <w:rsid w:val="004D7870"/>
    <w:rsid w:val="004E0B92"/>
    <w:rsid w:val="004E1CD5"/>
    <w:rsid w:val="004E205C"/>
    <w:rsid w:val="004E2CFA"/>
    <w:rsid w:val="004E3E50"/>
    <w:rsid w:val="004E4706"/>
    <w:rsid w:val="004E4FFD"/>
    <w:rsid w:val="004E6595"/>
    <w:rsid w:val="004E699F"/>
    <w:rsid w:val="004F0977"/>
    <w:rsid w:val="004F1887"/>
    <w:rsid w:val="004F35F3"/>
    <w:rsid w:val="004F3D8F"/>
    <w:rsid w:val="004F4383"/>
    <w:rsid w:val="004F6026"/>
    <w:rsid w:val="004F6575"/>
    <w:rsid w:val="004F7792"/>
    <w:rsid w:val="004F7A30"/>
    <w:rsid w:val="00500179"/>
    <w:rsid w:val="00502E5F"/>
    <w:rsid w:val="00504004"/>
    <w:rsid w:val="00504E63"/>
    <w:rsid w:val="005071D0"/>
    <w:rsid w:val="005079B3"/>
    <w:rsid w:val="00511ED5"/>
    <w:rsid w:val="005135E6"/>
    <w:rsid w:val="00514901"/>
    <w:rsid w:val="00514EBF"/>
    <w:rsid w:val="00515162"/>
    <w:rsid w:val="005153C7"/>
    <w:rsid w:val="00515693"/>
    <w:rsid w:val="0051596D"/>
    <w:rsid w:val="00516E73"/>
    <w:rsid w:val="0051740F"/>
    <w:rsid w:val="00521501"/>
    <w:rsid w:val="00523DDD"/>
    <w:rsid w:val="00525857"/>
    <w:rsid w:val="0052658B"/>
    <w:rsid w:val="00527A31"/>
    <w:rsid w:val="00527CE4"/>
    <w:rsid w:val="005312C2"/>
    <w:rsid w:val="005318C8"/>
    <w:rsid w:val="00531A93"/>
    <w:rsid w:val="00534CEA"/>
    <w:rsid w:val="00534DF0"/>
    <w:rsid w:val="00536864"/>
    <w:rsid w:val="00537755"/>
    <w:rsid w:val="005378E0"/>
    <w:rsid w:val="00540E77"/>
    <w:rsid w:val="00541498"/>
    <w:rsid w:val="00542378"/>
    <w:rsid w:val="00542B51"/>
    <w:rsid w:val="00544269"/>
    <w:rsid w:val="00544D8C"/>
    <w:rsid w:val="00547E9D"/>
    <w:rsid w:val="005502E9"/>
    <w:rsid w:val="0055048D"/>
    <w:rsid w:val="00557149"/>
    <w:rsid w:val="005613FD"/>
    <w:rsid w:val="005634DC"/>
    <w:rsid w:val="00566EDC"/>
    <w:rsid w:val="005675CF"/>
    <w:rsid w:val="00567CDD"/>
    <w:rsid w:val="00570D8A"/>
    <w:rsid w:val="00571486"/>
    <w:rsid w:val="00571E10"/>
    <w:rsid w:val="00571EFC"/>
    <w:rsid w:val="00571FAA"/>
    <w:rsid w:val="005724AE"/>
    <w:rsid w:val="005731C7"/>
    <w:rsid w:val="00573504"/>
    <w:rsid w:val="00574A4E"/>
    <w:rsid w:val="00574C24"/>
    <w:rsid w:val="00575598"/>
    <w:rsid w:val="00575F20"/>
    <w:rsid w:val="00576FA4"/>
    <w:rsid w:val="00580120"/>
    <w:rsid w:val="00581A48"/>
    <w:rsid w:val="005830C5"/>
    <w:rsid w:val="00584371"/>
    <w:rsid w:val="00584430"/>
    <w:rsid w:val="005857AE"/>
    <w:rsid w:val="00587028"/>
    <w:rsid w:val="00590300"/>
    <w:rsid w:val="00590ED2"/>
    <w:rsid w:val="0059156A"/>
    <w:rsid w:val="00593B01"/>
    <w:rsid w:val="00594728"/>
    <w:rsid w:val="00595C70"/>
    <w:rsid w:val="00596674"/>
    <w:rsid w:val="00596965"/>
    <w:rsid w:val="0059769C"/>
    <w:rsid w:val="005A03A8"/>
    <w:rsid w:val="005A0E8B"/>
    <w:rsid w:val="005A1F5F"/>
    <w:rsid w:val="005A39E4"/>
    <w:rsid w:val="005A629F"/>
    <w:rsid w:val="005A6CB9"/>
    <w:rsid w:val="005A7C3F"/>
    <w:rsid w:val="005B0252"/>
    <w:rsid w:val="005B02AF"/>
    <w:rsid w:val="005B611F"/>
    <w:rsid w:val="005B7852"/>
    <w:rsid w:val="005B7E89"/>
    <w:rsid w:val="005C02C8"/>
    <w:rsid w:val="005C1E07"/>
    <w:rsid w:val="005C2579"/>
    <w:rsid w:val="005C5860"/>
    <w:rsid w:val="005C5A66"/>
    <w:rsid w:val="005C7B4E"/>
    <w:rsid w:val="005D157A"/>
    <w:rsid w:val="005D1F58"/>
    <w:rsid w:val="005D203B"/>
    <w:rsid w:val="005D22D6"/>
    <w:rsid w:val="005D42FC"/>
    <w:rsid w:val="005D5319"/>
    <w:rsid w:val="005D6CDF"/>
    <w:rsid w:val="005D75E8"/>
    <w:rsid w:val="005E099B"/>
    <w:rsid w:val="005E09EA"/>
    <w:rsid w:val="005E2383"/>
    <w:rsid w:val="005E2CCB"/>
    <w:rsid w:val="005E36DA"/>
    <w:rsid w:val="005E4372"/>
    <w:rsid w:val="005E5CA6"/>
    <w:rsid w:val="005E716D"/>
    <w:rsid w:val="005E7340"/>
    <w:rsid w:val="005F0392"/>
    <w:rsid w:val="005F1A1B"/>
    <w:rsid w:val="005F1FD5"/>
    <w:rsid w:val="005F3A7B"/>
    <w:rsid w:val="005F4281"/>
    <w:rsid w:val="005F4391"/>
    <w:rsid w:val="005F4CD4"/>
    <w:rsid w:val="005F5540"/>
    <w:rsid w:val="005F5E2B"/>
    <w:rsid w:val="005F7A13"/>
    <w:rsid w:val="00601AC7"/>
    <w:rsid w:val="00602038"/>
    <w:rsid w:val="006027C8"/>
    <w:rsid w:val="00603800"/>
    <w:rsid w:val="0060474F"/>
    <w:rsid w:val="00604CEE"/>
    <w:rsid w:val="006070B3"/>
    <w:rsid w:val="006075D0"/>
    <w:rsid w:val="00610131"/>
    <w:rsid w:val="006107EA"/>
    <w:rsid w:val="00610F0C"/>
    <w:rsid w:val="00611E2C"/>
    <w:rsid w:val="006127E7"/>
    <w:rsid w:val="00612C9F"/>
    <w:rsid w:val="00612CFE"/>
    <w:rsid w:val="006157DA"/>
    <w:rsid w:val="00615BE7"/>
    <w:rsid w:val="0061600D"/>
    <w:rsid w:val="00617C14"/>
    <w:rsid w:val="00617F2A"/>
    <w:rsid w:val="00621C25"/>
    <w:rsid w:val="00621DB7"/>
    <w:rsid w:val="0062376F"/>
    <w:rsid w:val="006248AB"/>
    <w:rsid w:val="00624D49"/>
    <w:rsid w:val="00624EF3"/>
    <w:rsid w:val="00625955"/>
    <w:rsid w:val="00627149"/>
    <w:rsid w:val="00627C7D"/>
    <w:rsid w:val="00630009"/>
    <w:rsid w:val="0063167C"/>
    <w:rsid w:val="00631A4C"/>
    <w:rsid w:val="006328F1"/>
    <w:rsid w:val="00633455"/>
    <w:rsid w:val="00633C68"/>
    <w:rsid w:val="00635363"/>
    <w:rsid w:val="00635F54"/>
    <w:rsid w:val="006371A5"/>
    <w:rsid w:val="00637C20"/>
    <w:rsid w:val="00640114"/>
    <w:rsid w:val="00640E55"/>
    <w:rsid w:val="00642B9B"/>
    <w:rsid w:val="00645A3A"/>
    <w:rsid w:val="00646D21"/>
    <w:rsid w:val="00647854"/>
    <w:rsid w:val="00650819"/>
    <w:rsid w:val="0065162E"/>
    <w:rsid w:val="0065199F"/>
    <w:rsid w:val="00652600"/>
    <w:rsid w:val="006537B1"/>
    <w:rsid w:val="006537E9"/>
    <w:rsid w:val="00653851"/>
    <w:rsid w:val="00655DDF"/>
    <w:rsid w:val="00657BFC"/>
    <w:rsid w:val="00657CBB"/>
    <w:rsid w:val="00660F12"/>
    <w:rsid w:val="0066176C"/>
    <w:rsid w:val="006621DF"/>
    <w:rsid w:val="006640AA"/>
    <w:rsid w:val="006661B2"/>
    <w:rsid w:val="006670BC"/>
    <w:rsid w:val="006707A4"/>
    <w:rsid w:val="00673B26"/>
    <w:rsid w:val="00675A57"/>
    <w:rsid w:val="00676480"/>
    <w:rsid w:val="00681A72"/>
    <w:rsid w:val="00681CD8"/>
    <w:rsid w:val="00682457"/>
    <w:rsid w:val="00683038"/>
    <w:rsid w:val="006831C5"/>
    <w:rsid w:val="00683B5B"/>
    <w:rsid w:val="006856A8"/>
    <w:rsid w:val="006873E7"/>
    <w:rsid w:val="00687A86"/>
    <w:rsid w:val="00693238"/>
    <w:rsid w:val="00693350"/>
    <w:rsid w:val="00694196"/>
    <w:rsid w:val="00695255"/>
    <w:rsid w:val="00695872"/>
    <w:rsid w:val="006965C7"/>
    <w:rsid w:val="00697C59"/>
    <w:rsid w:val="006A1C18"/>
    <w:rsid w:val="006A2E15"/>
    <w:rsid w:val="006A4282"/>
    <w:rsid w:val="006A5607"/>
    <w:rsid w:val="006A5BDD"/>
    <w:rsid w:val="006A62CE"/>
    <w:rsid w:val="006A6882"/>
    <w:rsid w:val="006A6DC2"/>
    <w:rsid w:val="006A7089"/>
    <w:rsid w:val="006B06A2"/>
    <w:rsid w:val="006B0B44"/>
    <w:rsid w:val="006B110D"/>
    <w:rsid w:val="006B2FD6"/>
    <w:rsid w:val="006B31E6"/>
    <w:rsid w:val="006B514F"/>
    <w:rsid w:val="006B518E"/>
    <w:rsid w:val="006B5816"/>
    <w:rsid w:val="006B700E"/>
    <w:rsid w:val="006B7323"/>
    <w:rsid w:val="006B73A3"/>
    <w:rsid w:val="006C030B"/>
    <w:rsid w:val="006C25BD"/>
    <w:rsid w:val="006C4AE0"/>
    <w:rsid w:val="006C4F38"/>
    <w:rsid w:val="006C61AA"/>
    <w:rsid w:val="006C7944"/>
    <w:rsid w:val="006D0549"/>
    <w:rsid w:val="006D0592"/>
    <w:rsid w:val="006D08A8"/>
    <w:rsid w:val="006D3C08"/>
    <w:rsid w:val="006D5B5D"/>
    <w:rsid w:val="006D5F90"/>
    <w:rsid w:val="006D6CC8"/>
    <w:rsid w:val="006D71B1"/>
    <w:rsid w:val="006E0283"/>
    <w:rsid w:val="006E0757"/>
    <w:rsid w:val="006E09B2"/>
    <w:rsid w:val="006E1BA8"/>
    <w:rsid w:val="006E1CB9"/>
    <w:rsid w:val="006E2481"/>
    <w:rsid w:val="006E3214"/>
    <w:rsid w:val="006E4AFF"/>
    <w:rsid w:val="006E4B41"/>
    <w:rsid w:val="006E4D04"/>
    <w:rsid w:val="006E590E"/>
    <w:rsid w:val="006E5FC5"/>
    <w:rsid w:val="006E67FF"/>
    <w:rsid w:val="006F049D"/>
    <w:rsid w:val="006F2BD9"/>
    <w:rsid w:val="006F2E4E"/>
    <w:rsid w:val="006F2F88"/>
    <w:rsid w:val="006F6042"/>
    <w:rsid w:val="006F6791"/>
    <w:rsid w:val="006F6E93"/>
    <w:rsid w:val="006F74CA"/>
    <w:rsid w:val="006F7787"/>
    <w:rsid w:val="00700EAE"/>
    <w:rsid w:val="00700FD5"/>
    <w:rsid w:val="00702BF3"/>
    <w:rsid w:val="007031ED"/>
    <w:rsid w:val="007062B4"/>
    <w:rsid w:val="00707EE7"/>
    <w:rsid w:val="0071232E"/>
    <w:rsid w:val="00712375"/>
    <w:rsid w:val="0071247C"/>
    <w:rsid w:val="00712636"/>
    <w:rsid w:val="007151D6"/>
    <w:rsid w:val="007154FF"/>
    <w:rsid w:val="00715A8A"/>
    <w:rsid w:val="007178E9"/>
    <w:rsid w:val="00725269"/>
    <w:rsid w:val="00725F1B"/>
    <w:rsid w:val="007274A0"/>
    <w:rsid w:val="0073177A"/>
    <w:rsid w:val="00731B72"/>
    <w:rsid w:val="00731D25"/>
    <w:rsid w:val="00731E1D"/>
    <w:rsid w:val="00733B6D"/>
    <w:rsid w:val="00735066"/>
    <w:rsid w:val="00737CBA"/>
    <w:rsid w:val="00740021"/>
    <w:rsid w:val="0074066D"/>
    <w:rsid w:val="007409CA"/>
    <w:rsid w:val="007420BF"/>
    <w:rsid w:val="00744BC7"/>
    <w:rsid w:val="00747195"/>
    <w:rsid w:val="0074761E"/>
    <w:rsid w:val="00751333"/>
    <w:rsid w:val="0075234A"/>
    <w:rsid w:val="00753572"/>
    <w:rsid w:val="00753DE1"/>
    <w:rsid w:val="00754593"/>
    <w:rsid w:val="0075545F"/>
    <w:rsid w:val="00756473"/>
    <w:rsid w:val="00756C0D"/>
    <w:rsid w:val="00756FC4"/>
    <w:rsid w:val="00761FC4"/>
    <w:rsid w:val="00762D69"/>
    <w:rsid w:val="00762F7E"/>
    <w:rsid w:val="00765C86"/>
    <w:rsid w:val="007678CF"/>
    <w:rsid w:val="00767EE0"/>
    <w:rsid w:val="007739A4"/>
    <w:rsid w:val="00774286"/>
    <w:rsid w:val="00775693"/>
    <w:rsid w:val="00775D5F"/>
    <w:rsid w:val="007808FE"/>
    <w:rsid w:val="00780D9D"/>
    <w:rsid w:val="00782638"/>
    <w:rsid w:val="00783237"/>
    <w:rsid w:val="00783838"/>
    <w:rsid w:val="00785B8F"/>
    <w:rsid w:val="00785F17"/>
    <w:rsid w:val="00787FCF"/>
    <w:rsid w:val="007913C7"/>
    <w:rsid w:val="00791D6F"/>
    <w:rsid w:val="00792C6A"/>
    <w:rsid w:val="00793CEC"/>
    <w:rsid w:val="00795265"/>
    <w:rsid w:val="00796BF6"/>
    <w:rsid w:val="007976D9"/>
    <w:rsid w:val="007A0013"/>
    <w:rsid w:val="007A0BCB"/>
    <w:rsid w:val="007A1FD2"/>
    <w:rsid w:val="007A20DA"/>
    <w:rsid w:val="007A2DEB"/>
    <w:rsid w:val="007A2F15"/>
    <w:rsid w:val="007A308F"/>
    <w:rsid w:val="007A374C"/>
    <w:rsid w:val="007A40BE"/>
    <w:rsid w:val="007A6687"/>
    <w:rsid w:val="007A6E1D"/>
    <w:rsid w:val="007B14FD"/>
    <w:rsid w:val="007B1865"/>
    <w:rsid w:val="007B59E3"/>
    <w:rsid w:val="007B6D7E"/>
    <w:rsid w:val="007C09C4"/>
    <w:rsid w:val="007C1580"/>
    <w:rsid w:val="007C2977"/>
    <w:rsid w:val="007C351A"/>
    <w:rsid w:val="007C3FA8"/>
    <w:rsid w:val="007C6468"/>
    <w:rsid w:val="007C7A12"/>
    <w:rsid w:val="007D0A9B"/>
    <w:rsid w:val="007D1878"/>
    <w:rsid w:val="007D22E0"/>
    <w:rsid w:val="007D25FC"/>
    <w:rsid w:val="007D3399"/>
    <w:rsid w:val="007D34EE"/>
    <w:rsid w:val="007D41F0"/>
    <w:rsid w:val="007D4F2F"/>
    <w:rsid w:val="007D705B"/>
    <w:rsid w:val="007D737A"/>
    <w:rsid w:val="007E0319"/>
    <w:rsid w:val="007E060E"/>
    <w:rsid w:val="007E16F5"/>
    <w:rsid w:val="007E34BB"/>
    <w:rsid w:val="007E7BFE"/>
    <w:rsid w:val="007F0D27"/>
    <w:rsid w:val="007F1505"/>
    <w:rsid w:val="007F4A02"/>
    <w:rsid w:val="007F638E"/>
    <w:rsid w:val="007F757A"/>
    <w:rsid w:val="008002EA"/>
    <w:rsid w:val="00800DF7"/>
    <w:rsid w:val="008013F9"/>
    <w:rsid w:val="00803852"/>
    <w:rsid w:val="008040F8"/>
    <w:rsid w:val="00805361"/>
    <w:rsid w:val="00806129"/>
    <w:rsid w:val="00807085"/>
    <w:rsid w:val="00807C1A"/>
    <w:rsid w:val="0081068C"/>
    <w:rsid w:val="00810CF1"/>
    <w:rsid w:val="0081300A"/>
    <w:rsid w:val="008138DF"/>
    <w:rsid w:val="00815257"/>
    <w:rsid w:val="0081549A"/>
    <w:rsid w:val="00816469"/>
    <w:rsid w:val="0082007F"/>
    <w:rsid w:val="008201F5"/>
    <w:rsid w:val="008209BA"/>
    <w:rsid w:val="008221E3"/>
    <w:rsid w:val="00822650"/>
    <w:rsid w:val="00823B0E"/>
    <w:rsid w:val="00824642"/>
    <w:rsid w:val="00824EFC"/>
    <w:rsid w:val="0082559E"/>
    <w:rsid w:val="00825666"/>
    <w:rsid w:val="00825953"/>
    <w:rsid w:val="0082681A"/>
    <w:rsid w:val="00826F89"/>
    <w:rsid w:val="00831B82"/>
    <w:rsid w:val="00831FC5"/>
    <w:rsid w:val="00832157"/>
    <w:rsid w:val="0083235F"/>
    <w:rsid w:val="00833365"/>
    <w:rsid w:val="008353A1"/>
    <w:rsid w:val="00835A6B"/>
    <w:rsid w:val="00840573"/>
    <w:rsid w:val="00841476"/>
    <w:rsid w:val="0084170B"/>
    <w:rsid w:val="00841987"/>
    <w:rsid w:val="00842A1C"/>
    <w:rsid w:val="00842A73"/>
    <w:rsid w:val="00843C90"/>
    <w:rsid w:val="0084405C"/>
    <w:rsid w:val="008444F2"/>
    <w:rsid w:val="00844783"/>
    <w:rsid w:val="00845A5B"/>
    <w:rsid w:val="00845DE0"/>
    <w:rsid w:val="008502A0"/>
    <w:rsid w:val="00850E01"/>
    <w:rsid w:val="00851263"/>
    <w:rsid w:val="00851C7B"/>
    <w:rsid w:val="00851D85"/>
    <w:rsid w:val="00853447"/>
    <w:rsid w:val="0085479E"/>
    <w:rsid w:val="00855430"/>
    <w:rsid w:val="00855E4D"/>
    <w:rsid w:val="00856990"/>
    <w:rsid w:val="00856CE7"/>
    <w:rsid w:val="00860483"/>
    <w:rsid w:val="00860950"/>
    <w:rsid w:val="00860B6F"/>
    <w:rsid w:val="008619BD"/>
    <w:rsid w:val="008624D8"/>
    <w:rsid w:val="00862E18"/>
    <w:rsid w:val="00862F68"/>
    <w:rsid w:val="00862FF7"/>
    <w:rsid w:val="00863048"/>
    <w:rsid w:val="008675CC"/>
    <w:rsid w:val="00870830"/>
    <w:rsid w:val="008723AF"/>
    <w:rsid w:val="00873490"/>
    <w:rsid w:val="00873D39"/>
    <w:rsid w:val="008741C4"/>
    <w:rsid w:val="008748BF"/>
    <w:rsid w:val="00875159"/>
    <w:rsid w:val="00876B43"/>
    <w:rsid w:val="008775CF"/>
    <w:rsid w:val="008777CE"/>
    <w:rsid w:val="00880A3D"/>
    <w:rsid w:val="00881A37"/>
    <w:rsid w:val="008821B4"/>
    <w:rsid w:val="00882918"/>
    <w:rsid w:val="00883169"/>
    <w:rsid w:val="00883D2B"/>
    <w:rsid w:val="00883F8C"/>
    <w:rsid w:val="0088449E"/>
    <w:rsid w:val="008847AD"/>
    <w:rsid w:val="00884A9F"/>
    <w:rsid w:val="00885272"/>
    <w:rsid w:val="00885488"/>
    <w:rsid w:val="00885ABC"/>
    <w:rsid w:val="00886A3C"/>
    <w:rsid w:val="00887921"/>
    <w:rsid w:val="00887E89"/>
    <w:rsid w:val="008918DB"/>
    <w:rsid w:val="00891A7D"/>
    <w:rsid w:val="00892414"/>
    <w:rsid w:val="00893377"/>
    <w:rsid w:val="00893C8F"/>
    <w:rsid w:val="00895CFD"/>
    <w:rsid w:val="00897D9C"/>
    <w:rsid w:val="008A02D1"/>
    <w:rsid w:val="008A0545"/>
    <w:rsid w:val="008A0675"/>
    <w:rsid w:val="008A14F3"/>
    <w:rsid w:val="008A1836"/>
    <w:rsid w:val="008A2035"/>
    <w:rsid w:val="008A2F32"/>
    <w:rsid w:val="008A3755"/>
    <w:rsid w:val="008A46CE"/>
    <w:rsid w:val="008A4908"/>
    <w:rsid w:val="008A6615"/>
    <w:rsid w:val="008B0782"/>
    <w:rsid w:val="008B1577"/>
    <w:rsid w:val="008B1826"/>
    <w:rsid w:val="008B4232"/>
    <w:rsid w:val="008B72D4"/>
    <w:rsid w:val="008C1CAB"/>
    <w:rsid w:val="008C3232"/>
    <w:rsid w:val="008C3A9B"/>
    <w:rsid w:val="008C47A4"/>
    <w:rsid w:val="008C54E9"/>
    <w:rsid w:val="008D0390"/>
    <w:rsid w:val="008D04E8"/>
    <w:rsid w:val="008D0B2C"/>
    <w:rsid w:val="008D0C42"/>
    <w:rsid w:val="008D11B9"/>
    <w:rsid w:val="008D1AA7"/>
    <w:rsid w:val="008D470C"/>
    <w:rsid w:val="008D65D3"/>
    <w:rsid w:val="008D679B"/>
    <w:rsid w:val="008D73C5"/>
    <w:rsid w:val="008E0FCD"/>
    <w:rsid w:val="008E273B"/>
    <w:rsid w:val="008E2DAD"/>
    <w:rsid w:val="008E485E"/>
    <w:rsid w:val="008E4B10"/>
    <w:rsid w:val="008E5DF7"/>
    <w:rsid w:val="008E5E2F"/>
    <w:rsid w:val="008E6545"/>
    <w:rsid w:val="008F0F45"/>
    <w:rsid w:val="008F1EF8"/>
    <w:rsid w:val="008F3EBD"/>
    <w:rsid w:val="008F52C0"/>
    <w:rsid w:val="008F70DB"/>
    <w:rsid w:val="008F7735"/>
    <w:rsid w:val="008F7E1B"/>
    <w:rsid w:val="009003E1"/>
    <w:rsid w:val="00900F6F"/>
    <w:rsid w:val="00901403"/>
    <w:rsid w:val="00901790"/>
    <w:rsid w:val="00903D42"/>
    <w:rsid w:val="00903DCE"/>
    <w:rsid w:val="00905698"/>
    <w:rsid w:val="00906A52"/>
    <w:rsid w:val="00907B84"/>
    <w:rsid w:val="00913FBE"/>
    <w:rsid w:val="0091647D"/>
    <w:rsid w:val="00916643"/>
    <w:rsid w:val="00916E07"/>
    <w:rsid w:val="00917026"/>
    <w:rsid w:val="009171DC"/>
    <w:rsid w:val="00920A71"/>
    <w:rsid w:val="009210E1"/>
    <w:rsid w:val="009213EE"/>
    <w:rsid w:val="009220DC"/>
    <w:rsid w:val="00922A7F"/>
    <w:rsid w:val="00923587"/>
    <w:rsid w:val="00924913"/>
    <w:rsid w:val="00925B8B"/>
    <w:rsid w:val="00926D4E"/>
    <w:rsid w:val="00927735"/>
    <w:rsid w:val="00932826"/>
    <w:rsid w:val="009370D7"/>
    <w:rsid w:val="009373E9"/>
    <w:rsid w:val="0094015C"/>
    <w:rsid w:val="00940B0C"/>
    <w:rsid w:val="00940E0A"/>
    <w:rsid w:val="009422AE"/>
    <w:rsid w:val="0094355B"/>
    <w:rsid w:val="00946141"/>
    <w:rsid w:val="0095086B"/>
    <w:rsid w:val="009545AF"/>
    <w:rsid w:val="00954620"/>
    <w:rsid w:val="00955F4A"/>
    <w:rsid w:val="00957D8D"/>
    <w:rsid w:val="00961D20"/>
    <w:rsid w:val="009626EE"/>
    <w:rsid w:val="00962D8B"/>
    <w:rsid w:val="009634A8"/>
    <w:rsid w:val="009636D1"/>
    <w:rsid w:val="0096515F"/>
    <w:rsid w:val="0096576B"/>
    <w:rsid w:val="00966D0D"/>
    <w:rsid w:val="009673A8"/>
    <w:rsid w:val="0096751E"/>
    <w:rsid w:val="00967DF2"/>
    <w:rsid w:val="00973811"/>
    <w:rsid w:val="0097399C"/>
    <w:rsid w:val="00977338"/>
    <w:rsid w:val="00977AD5"/>
    <w:rsid w:val="00980641"/>
    <w:rsid w:val="00981298"/>
    <w:rsid w:val="009812C8"/>
    <w:rsid w:val="00981C68"/>
    <w:rsid w:val="009826C3"/>
    <w:rsid w:val="00982829"/>
    <w:rsid w:val="0098370C"/>
    <w:rsid w:val="00984302"/>
    <w:rsid w:val="00984664"/>
    <w:rsid w:val="0098472C"/>
    <w:rsid w:val="0098495C"/>
    <w:rsid w:val="0098506F"/>
    <w:rsid w:val="00985700"/>
    <w:rsid w:val="00986060"/>
    <w:rsid w:val="009867F1"/>
    <w:rsid w:val="00986CF1"/>
    <w:rsid w:val="009870B9"/>
    <w:rsid w:val="009872A0"/>
    <w:rsid w:val="00991333"/>
    <w:rsid w:val="0099150E"/>
    <w:rsid w:val="00991539"/>
    <w:rsid w:val="00991923"/>
    <w:rsid w:val="00992308"/>
    <w:rsid w:val="0099241E"/>
    <w:rsid w:val="00992A2F"/>
    <w:rsid w:val="00992D93"/>
    <w:rsid w:val="00993C22"/>
    <w:rsid w:val="009940AC"/>
    <w:rsid w:val="0099418F"/>
    <w:rsid w:val="00996D50"/>
    <w:rsid w:val="009A11F0"/>
    <w:rsid w:val="009A442F"/>
    <w:rsid w:val="009A4643"/>
    <w:rsid w:val="009A4976"/>
    <w:rsid w:val="009A4B31"/>
    <w:rsid w:val="009A527A"/>
    <w:rsid w:val="009A62FC"/>
    <w:rsid w:val="009A7A66"/>
    <w:rsid w:val="009B06B5"/>
    <w:rsid w:val="009B2AD5"/>
    <w:rsid w:val="009B3282"/>
    <w:rsid w:val="009B4386"/>
    <w:rsid w:val="009B70C5"/>
    <w:rsid w:val="009B7A74"/>
    <w:rsid w:val="009B7B2F"/>
    <w:rsid w:val="009C022A"/>
    <w:rsid w:val="009C03C9"/>
    <w:rsid w:val="009C178B"/>
    <w:rsid w:val="009C17A1"/>
    <w:rsid w:val="009C1A30"/>
    <w:rsid w:val="009C3DB4"/>
    <w:rsid w:val="009C4647"/>
    <w:rsid w:val="009C4F63"/>
    <w:rsid w:val="009D03C1"/>
    <w:rsid w:val="009D11CB"/>
    <w:rsid w:val="009D19D6"/>
    <w:rsid w:val="009D1A3D"/>
    <w:rsid w:val="009D3268"/>
    <w:rsid w:val="009D3B65"/>
    <w:rsid w:val="009D40AA"/>
    <w:rsid w:val="009D54D9"/>
    <w:rsid w:val="009D5F6D"/>
    <w:rsid w:val="009D5F84"/>
    <w:rsid w:val="009D6176"/>
    <w:rsid w:val="009D741C"/>
    <w:rsid w:val="009D7B05"/>
    <w:rsid w:val="009E1659"/>
    <w:rsid w:val="009E2563"/>
    <w:rsid w:val="009E4131"/>
    <w:rsid w:val="009E57A6"/>
    <w:rsid w:val="009E6FBC"/>
    <w:rsid w:val="009F0565"/>
    <w:rsid w:val="009F0C5D"/>
    <w:rsid w:val="009F1166"/>
    <w:rsid w:val="009F2283"/>
    <w:rsid w:val="009F5CAC"/>
    <w:rsid w:val="009F5E96"/>
    <w:rsid w:val="009F7317"/>
    <w:rsid w:val="00A0021C"/>
    <w:rsid w:val="00A0037D"/>
    <w:rsid w:val="00A00E9C"/>
    <w:rsid w:val="00A01571"/>
    <w:rsid w:val="00A01EE3"/>
    <w:rsid w:val="00A02D39"/>
    <w:rsid w:val="00A042D2"/>
    <w:rsid w:val="00A046E6"/>
    <w:rsid w:val="00A0576E"/>
    <w:rsid w:val="00A058B5"/>
    <w:rsid w:val="00A05D3D"/>
    <w:rsid w:val="00A06980"/>
    <w:rsid w:val="00A06E5C"/>
    <w:rsid w:val="00A104A7"/>
    <w:rsid w:val="00A116AE"/>
    <w:rsid w:val="00A11797"/>
    <w:rsid w:val="00A12294"/>
    <w:rsid w:val="00A12804"/>
    <w:rsid w:val="00A130A5"/>
    <w:rsid w:val="00A138E0"/>
    <w:rsid w:val="00A13CD2"/>
    <w:rsid w:val="00A14644"/>
    <w:rsid w:val="00A15179"/>
    <w:rsid w:val="00A156A2"/>
    <w:rsid w:val="00A16370"/>
    <w:rsid w:val="00A16755"/>
    <w:rsid w:val="00A172F3"/>
    <w:rsid w:val="00A20A13"/>
    <w:rsid w:val="00A217D3"/>
    <w:rsid w:val="00A2290C"/>
    <w:rsid w:val="00A22ABF"/>
    <w:rsid w:val="00A22F72"/>
    <w:rsid w:val="00A23C62"/>
    <w:rsid w:val="00A25B11"/>
    <w:rsid w:val="00A319A3"/>
    <w:rsid w:val="00A329F0"/>
    <w:rsid w:val="00A32B7A"/>
    <w:rsid w:val="00A3350C"/>
    <w:rsid w:val="00A34B9F"/>
    <w:rsid w:val="00A35904"/>
    <w:rsid w:val="00A36244"/>
    <w:rsid w:val="00A370C2"/>
    <w:rsid w:val="00A372B8"/>
    <w:rsid w:val="00A37D91"/>
    <w:rsid w:val="00A40CA3"/>
    <w:rsid w:val="00A40D04"/>
    <w:rsid w:val="00A4157D"/>
    <w:rsid w:val="00A41BEC"/>
    <w:rsid w:val="00A44504"/>
    <w:rsid w:val="00A4483F"/>
    <w:rsid w:val="00A457E8"/>
    <w:rsid w:val="00A46A86"/>
    <w:rsid w:val="00A47104"/>
    <w:rsid w:val="00A478DD"/>
    <w:rsid w:val="00A5598D"/>
    <w:rsid w:val="00A560DF"/>
    <w:rsid w:val="00A56BBC"/>
    <w:rsid w:val="00A5795E"/>
    <w:rsid w:val="00A624C4"/>
    <w:rsid w:val="00A64FEA"/>
    <w:rsid w:val="00A6544F"/>
    <w:rsid w:val="00A67E60"/>
    <w:rsid w:val="00A704DA"/>
    <w:rsid w:val="00A70CC2"/>
    <w:rsid w:val="00A70D51"/>
    <w:rsid w:val="00A739EE"/>
    <w:rsid w:val="00A75F01"/>
    <w:rsid w:val="00A7621D"/>
    <w:rsid w:val="00A76F2F"/>
    <w:rsid w:val="00A76FD7"/>
    <w:rsid w:val="00A81B32"/>
    <w:rsid w:val="00A82805"/>
    <w:rsid w:val="00A840D8"/>
    <w:rsid w:val="00A84506"/>
    <w:rsid w:val="00A86E00"/>
    <w:rsid w:val="00A87FEF"/>
    <w:rsid w:val="00A903C9"/>
    <w:rsid w:val="00A90BE1"/>
    <w:rsid w:val="00A94204"/>
    <w:rsid w:val="00A94EDC"/>
    <w:rsid w:val="00A956DE"/>
    <w:rsid w:val="00A95A0F"/>
    <w:rsid w:val="00A960A8"/>
    <w:rsid w:val="00A9650F"/>
    <w:rsid w:val="00AA001B"/>
    <w:rsid w:val="00AA00BA"/>
    <w:rsid w:val="00AA04DB"/>
    <w:rsid w:val="00AA0E78"/>
    <w:rsid w:val="00AA106F"/>
    <w:rsid w:val="00AA4091"/>
    <w:rsid w:val="00AA664E"/>
    <w:rsid w:val="00AB108C"/>
    <w:rsid w:val="00AB119D"/>
    <w:rsid w:val="00AB1952"/>
    <w:rsid w:val="00AB2101"/>
    <w:rsid w:val="00AB33E0"/>
    <w:rsid w:val="00AB3E2A"/>
    <w:rsid w:val="00AB79F4"/>
    <w:rsid w:val="00AC0075"/>
    <w:rsid w:val="00AC0F30"/>
    <w:rsid w:val="00AC1D49"/>
    <w:rsid w:val="00AD0B31"/>
    <w:rsid w:val="00AD0DE0"/>
    <w:rsid w:val="00AD1812"/>
    <w:rsid w:val="00AD2552"/>
    <w:rsid w:val="00AD28C4"/>
    <w:rsid w:val="00AD2BBF"/>
    <w:rsid w:val="00AD2EC2"/>
    <w:rsid w:val="00AD4085"/>
    <w:rsid w:val="00AD4376"/>
    <w:rsid w:val="00AD4747"/>
    <w:rsid w:val="00AD6210"/>
    <w:rsid w:val="00AE26DC"/>
    <w:rsid w:val="00AE3689"/>
    <w:rsid w:val="00AE3D5E"/>
    <w:rsid w:val="00AE7863"/>
    <w:rsid w:val="00AF1AC3"/>
    <w:rsid w:val="00AF2C0B"/>
    <w:rsid w:val="00AF3509"/>
    <w:rsid w:val="00AF3E6D"/>
    <w:rsid w:val="00AF4C63"/>
    <w:rsid w:val="00AF4FE2"/>
    <w:rsid w:val="00AF51AE"/>
    <w:rsid w:val="00AF5858"/>
    <w:rsid w:val="00AF6855"/>
    <w:rsid w:val="00AF69DF"/>
    <w:rsid w:val="00AF7829"/>
    <w:rsid w:val="00AF7BBE"/>
    <w:rsid w:val="00B0040A"/>
    <w:rsid w:val="00B005E9"/>
    <w:rsid w:val="00B00652"/>
    <w:rsid w:val="00B02830"/>
    <w:rsid w:val="00B05526"/>
    <w:rsid w:val="00B07163"/>
    <w:rsid w:val="00B07F4D"/>
    <w:rsid w:val="00B10215"/>
    <w:rsid w:val="00B12A1E"/>
    <w:rsid w:val="00B169B7"/>
    <w:rsid w:val="00B1799B"/>
    <w:rsid w:val="00B2089C"/>
    <w:rsid w:val="00B2216E"/>
    <w:rsid w:val="00B22490"/>
    <w:rsid w:val="00B233BB"/>
    <w:rsid w:val="00B23597"/>
    <w:rsid w:val="00B23926"/>
    <w:rsid w:val="00B2425A"/>
    <w:rsid w:val="00B242EB"/>
    <w:rsid w:val="00B265A2"/>
    <w:rsid w:val="00B267DD"/>
    <w:rsid w:val="00B278D1"/>
    <w:rsid w:val="00B27D45"/>
    <w:rsid w:val="00B3009D"/>
    <w:rsid w:val="00B30A6A"/>
    <w:rsid w:val="00B31D24"/>
    <w:rsid w:val="00B3244B"/>
    <w:rsid w:val="00B33F75"/>
    <w:rsid w:val="00B3748D"/>
    <w:rsid w:val="00B377D6"/>
    <w:rsid w:val="00B37C80"/>
    <w:rsid w:val="00B41294"/>
    <w:rsid w:val="00B443C3"/>
    <w:rsid w:val="00B46191"/>
    <w:rsid w:val="00B47CB6"/>
    <w:rsid w:val="00B540D0"/>
    <w:rsid w:val="00B54968"/>
    <w:rsid w:val="00B54E00"/>
    <w:rsid w:val="00B55255"/>
    <w:rsid w:val="00B553A7"/>
    <w:rsid w:val="00B55C89"/>
    <w:rsid w:val="00B55E53"/>
    <w:rsid w:val="00B5672E"/>
    <w:rsid w:val="00B56D3F"/>
    <w:rsid w:val="00B57A25"/>
    <w:rsid w:val="00B60173"/>
    <w:rsid w:val="00B601E9"/>
    <w:rsid w:val="00B6133C"/>
    <w:rsid w:val="00B616E1"/>
    <w:rsid w:val="00B63CEC"/>
    <w:rsid w:val="00B64BBC"/>
    <w:rsid w:val="00B7176C"/>
    <w:rsid w:val="00B717AA"/>
    <w:rsid w:val="00B71F3F"/>
    <w:rsid w:val="00B7284B"/>
    <w:rsid w:val="00B7406E"/>
    <w:rsid w:val="00B74460"/>
    <w:rsid w:val="00B75352"/>
    <w:rsid w:val="00B7561D"/>
    <w:rsid w:val="00B76A83"/>
    <w:rsid w:val="00B77220"/>
    <w:rsid w:val="00B77351"/>
    <w:rsid w:val="00B806F4"/>
    <w:rsid w:val="00B8091E"/>
    <w:rsid w:val="00B81091"/>
    <w:rsid w:val="00B8259F"/>
    <w:rsid w:val="00B82830"/>
    <w:rsid w:val="00B82B45"/>
    <w:rsid w:val="00B85E66"/>
    <w:rsid w:val="00B86A08"/>
    <w:rsid w:val="00B90E81"/>
    <w:rsid w:val="00B92232"/>
    <w:rsid w:val="00B92C10"/>
    <w:rsid w:val="00B92F87"/>
    <w:rsid w:val="00B92F89"/>
    <w:rsid w:val="00B944AC"/>
    <w:rsid w:val="00B94FA8"/>
    <w:rsid w:val="00B957BB"/>
    <w:rsid w:val="00B95FAC"/>
    <w:rsid w:val="00B969FB"/>
    <w:rsid w:val="00B96BD6"/>
    <w:rsid w:val="00B97549"/>
    <w:rsid w:val="00BA0F31"/>
    <w:rsid w:val="00BA155A"/>
    <w:rsid w:val="00BA1D8C"/>
    <w:rsid w:val="00BA1DA7"/>
    <w:rsid w:val="00BA271D"/>
    <w:rsid w:val="00BA2842"/>
    <w:rsid w:val="00BA36C0"/>
    <w:rsid w:val="00BA3872"/>
    <w:rsid w:val="00BA45B7"/>
    <w:rsid w:val="00BA5D94"/>
    <w:rsid w:val="00BA6384"/>
    <w:rsid w:val="00BB0081"/>
    <w:rsid w:val="00BB0090"/>
    <w:rsid w:val="00BB0B1E"/>
    <w:rsid w:val="00BB1334"/>
    <w:rsid w:val="00BB3936"/>
    <w:rsid w:val="00BB41F4"/>
    <w:rsid w:val="00BB43E8"/>
    <w:rsid w:val="00BB624B"/>
    <w:rsid w:val="00BB647D"/>
    <w:rsid w:val="00BC3A4B"/>
    <w:rsid w:val="00BC4EB1"/>
    <w:rsid w:val="00BC5869"/>
    <w:rsid w:val="00BC66D2"/>
    <w:rsid w:val="00BC7799"/>
    <w:rsid w:val="00BC7A61"/>
    <w:rsid w:val="00BC7CC9"/>
    <w:rsid w:val="00BD14FC"/>
    <w:rsid w:val="00BD1A56"/>
    <w:rsid w:val="00BD1AEF"/>
    <w:rsid w:val="00BD22BC"/>
    <w:rsid w:val="00BD2827"/>
    <w:rsid w:val="00BD328F"/>
    <w:rsid w:val="00BD3BA8"/>
    <w:rsid w:val="00BD3E05"/>
    <w:rsid w:val="00BD46E7"/>
    <w:rsid w:val="00BD4880"/>
    <w:rsid w:val="00BD719A"/>
    <w:rsid w:val="00BD7B87"/>
    <w:rsid w:val="00BE0401"/>
    <w:rsid w:val="00BE07DE"/>
    <w:rsid w:val="00BE1194"/>
    <w:rsid w:val="00BE167D"/>
    <w:rsid w:val="00BE1777"/>
    <w:rsid w:val="00BE37F2"/>
    <w:rsid w:val="00BE3A32"/>
    <w:rsid w:val="00BE52FA"/>
    <w:rsid w:val="00BE5745"/>
    <w:rsid w:val="00BE69F9"/>
    <w:rsid w:val="00BF379D"/>
    <w:rsid w:val="00BF3C44"/>
    <w:rsid w:val="00BF44A2"/>
    <w:rsid w:val="00BF55A7"/>
    <w:rsid w:val="00BF5A84"/>
    <w:rsid w:val="00BF6046"/>
    <w:rsid w:val="00BF7F63"/>
    <w:rsid w:val="00C00238"/>
    <w:rsid w:val="00C00C3B"/>
    <w:rsid w:val="00C018A0"/>
    <w:rsid w:val="00C029CB"/>
    <w:rsid w:val="00C02F96"/>
    <w:rsid w:val="00C041DB"/>
    <w:rsid w:val="00C055A9"/>
    <w:rsid w:val="00C06341"/>
    <w:rsid w:val="00C0645B"/>
    <w:rsid w:val="00C06D55"/>
    <w:rsid w:val="00C06E2C"/>
    <w:rsid w:val="00C0795D"/>
    <w:rsid w:val="00C10AAE"/>
    <w:rsid w:val="00C11C7A"/>
    <w:rsid w:val="00C129DC"/>
    <w:rsid w:val="00C13B1B"/>
    <w:rsid w:val="00C13FEE"/>
    <w:rsid w:val="00C14824"/>
    <w:rsid w:val="00C14969"/>
    <w:rsid w:val="00C1636F"/>
    <w:rsid w:val="00C16477"/>
    <w:rsid w:val="00C16844"/>
    <w:rsid w:val="00C16C9D"/>
    <w:rsid w:val="00C174E6"/>
    <w:rsid w:val="00C20152"/>
    <w:rsid w:val="00C21082"/>
    <w:rsid w:val="00C21325"/>
    <w:rsid w:val="00C21E29"/>
    <w:rsid w:val="00C223A7"/>
    <w:rsid w:val="00C2302F"/>
    <w:rsid w:val="00C25CBD"/>
    <w:rsid w:val="00C262B3"/>
    <w:rsid w:val="00C27F9F"/>
    <w:rsid w:val="00C30164"/>
    <w:rsid w:val="00C30AF9"/>
    <w:rsid w:val="00C31C37"/>
    <w:rsid w:val="00C31DBB"/>
    <w:rsid w:val="00C320E5"/>
    <w:rsid w:val="00C32290"/>
    <w:rsid w:val="00C36060"/>
    <w:rsid w:val="00C3681C"/>
    <w:rsid w:val="00C36A6F"/>
    <w:rsid w:val="00C3705E"/>
    <w:rsid w:val="00C404AD"/>
    <w:rsid w:val="00C42E3D"/>
    <w:rsid w:val="00C430A3"/>
    <w:rsid w:val="00C44B0A"/>
    <w:rsid w:val="00C44F95"/>
    <w:rsid w:val="00C44FFC"/>
    <w:rsid w:val="00C45C49"/>
    <w:rsid w:val="00C47117"/>
    <w:rsid w:val="00C47254"/>
    <w:rsid w:val="00C474FF"/>
    <w:rsid w:val="00C47785"/>
    <w:rsid w:val="00C51D45"/>
    <w:rsid w:val="00C52B1D"/>
    <w:rsid w:val="00C52E66"/>
    <w:rsid w:val="00C532F6"/>
    <w:rsid w:val="00C55947"/>
    <w:rsid w:val="00C55B28"/>
    <w:rsid w:val="00C56D9A"/>
    <w:rsid w:val="00C57BB4"/>
    <w:rsid w:val="00C57DA3"/>
    <w:rsid w:val="00C61F11"/>
    <w:rsid w:val="00C61F49"/>
    <w:rsid w:val="00C61FE6"/>
    <w:rsid w:val="00C62969"/>
    <w:rsid w:val="00C62B8B"/>
    <w:rsid w:val="00C640AC"/>
    <w:rsid w:val="00C65043"/>
    <w:rsid w:val="00C659C0"/>
    <w:rsid w:val="00C6758F"/>
    <w:rsid w:val="00C72D83"/>
    <w:rsid w:val="00C73081"/>
    <w:rsid w:val="00C734C5"/>
    <w:rsid w:val="00C734FF"/>
    <w:rsid w:val="00C74265"/>
    <w:rsid w:val="00C75D34"/>
    <w:rsid w:val="00C8099A"/>
    <w:rsid w:val="00C80A9F"/>
    <w:rsid w:val="00C81DF4"/>
    <w:rsid w:val="00C82A42"/>
    <w:rsid w:val="00C82AC6"/>
    <w:rsid w:val="00C841B8"/>
    <w:rsid w:val="00C848E0"/>
    <w:rsid w:val="00C85635"/>
    <w:rsid w:val="00C90143"/>
    <w:rsid w:val="00C91A9D"/>
    <w:rsid w:val="00C92417"/>
    <w:rsid w:val="00C9247B"/>
    <w:rsid w:val="00C925F9"/>
    <w:rsid w:val="00C942D4"/>
    <w:rsid w:val="00C944AE"/>
    <w:rsid w:val="00C94D22"/>
    <w:rsid w:val="00C95C13"/>
    <w:rsid w:val="00C96E60"/>
    <w:rsid w:val="00C970F1"/>
    <w:rsid w:val="00C97B8F"/>
    <w:rsid w:val="00CA039B"/>
    <w:rsid w:val="00CA1586"/>
    <w:rsid w:val="00CA1914"/>
    <w:rsid w:val="00CA1932"/>
    <w:rsid w:val="00CA1C83"/>
    <w:rsid w:val="00CA440F"/>
    <w:rsid w:val="00CA521B"/>
    <w:rsid w:val="00CA6AD5"/>
    <w:rsid w:val="00CA767B"/>
    <w:rsid w:val="00CA7E31"/>
    <w:rsid w:val="00CB29FA"/>
    <w:rsid w:val="00CB3CCD"/>
    <w:rsid w:val="00CB4A11"/>
    <w:rsid w:val="00CB4BAD"/>
    <w:rsid w:val="00CB4D49"/>
    <w:rsid w:val="00CB4E1D"/>
    <w:rsid w:val="00CB5C86"/>
    <w:rsid w:val="00CB65CF"/>
    <w:rsid w:val="00CB688D"/>
    <w:rsid w:val="00CC0182"/>
    <w:rsid w:val="00CC0619"/>
    <w:rsid w:val="00CC2F18"/>
    <w:rsid w:val="00CC3773"/>
    <w:rsid w:val="00CC3EB4"/>
    <w:rsid w:val="00CC4E26"/>
    <w:rsid w:val="00CC55BE"/>
    <w:rsid w:val="00CD3B0A"/>
    <w:rsid w:val="00CD3C21"/>
    <w:rsid w:val="00CD41D8"/>
    <w:rsid w:val="00CD5A6D"/>
    <w:rsid w:val="00CD6D90"/>
    <w:rsid w:val="00CD6EAF"/>
    <w:rsid w:val="00CD7BEA"/>
    <w:rsid w:val="00CE0943"/>
    <w:rsid w:val="00CE0970"/>
    <w:rsid w:val="00CE0B34"/>
    <w:rsid w:val="00CE34EB"/>
    <w:rsid w:val="00CE49B6"/>
    <w:rsid w:val="00CE69FB"/>
    <w:rsid w:val="00CE7CDC"/>
    <w:rsid w:val="00CF03E0"/>
    <w:rsid w:val="00CF07F3"/>
    <w:rsid w:val="00CF0AC7"/>
    <w:rsid w:val="00CF33FB"/>
    <w:rsid w:val="00CF7D76"/>
    <w:rsid w:val="00D0088E"/>
    <w:rsid w:val="00D0098E"/>
    <w:rsid w:val="00D016B4"/>
    <w:rsid w:val="00D0632D"/>
    <w:rsid w:val="00D07533"/>
    <w:rsid w:val="00D07F95"/>
    <w:rsid w:val="00D111B5"/>
    <w:rsid w:val="00D11889"/>
    <w:rsid w:val="00D119A0"/>
    <w:rsid w:val="00D144D5"/>
    <w:rsid w:val="00D1481D"/>
    <w:rsid w:val="00D1542E"/>
    <w:rsid w:val="00D16907"/>
    <w:rsid w:val="00D17B44"/>
    <w:rsid w:val="00D21206"/>
    <w:rsid w:val="00D21ADD"/>
    <w:rsid w:val="00D21FC6"/>
    <w:rsid w:val="00D24340"/>
    <w:rsid w:val="00D24A2A"/>
    <w:rsid w:val="00D24B1B"/>
    <w:rsid w:val="00D2566A"/>
    <w:rsid w:val="00D25B95"/>
    <w:rsid w:val="00D269E2"/>
    <w:rsid w:val="00D26C7A"/>
    <w:rsid w:val="00D27B8A"/>
    <w:rsid w:val="00D27F8F"/>
    <w:rsid w:val="00D30B32"/>
    <w:rsid w:val="00D328FE"/>
    <w:rsid w:val="00D337DA"/>
    <w:rsid w:val="00D338BC"/>
    <w:rsid w:val="00D33DD5"/>
    <w:rsid w:val="00D34416"/>
    <w:rsid w:val="00D34BB5"/>
    <w:rsid w:val="00D3501C"/>
    <w:rsid w:val="00D3577D"/>
    <w:rsid w:val="00D367F5"/>
    <w:rsid w:val="00D36F92"/>
    <w:rsid w:val="00D377EE"/>
    <w:rsid w:val="00D37CF2"/>
    <w:rsid w:val="00D37DEB"/>
    <w:rsid w:val="00D41744"/>
    <w:rsid w:val="00D4428C"/>
    <w:rsid w:val="00D44C1D"/>
    <w:rsid w:val="00D45458"/>
    <w:rsid w:val="00D50035"/>
    <w:rsid w:val="00D50A62"/>
    <w:rsid w:val="00D50D54"/>
    <w:rsid w:val="00D50E6E"/>
    <w:rsid w:val="00D5111A"/>
    <w:rsid w:val="00D5173A"/>
    <w:rsid w:val="00D52497"/>
    <w:rsid w:val="00D5299B"/>
    <w:rsid w:val="00D539E9"/>
    <w:rsid w:val="00D57FC5"/>
    <w:rsid w:val="00D605F1"/>
    <w:rsid w:val="00D63C5B"/>
    <w:rsid w:val="00D63EF6"/>
    <w:rsid w:val="00D6538C"/>
    <w:rsid w:val="00D6566F"/>
    <w:rsid w:val="00D67492"/>
    <w:rsid w:val="00D7064A"/>
    <w:rsid w:val="00D71C6B"/>
    <w:rsid w:val="00D734D9"/>
    <w:rsid w:val="00D74471"/>
    <w:rsid w:val="00D744ED"/>
    <w:rsid w:val="00D74A86"/>
    <w:rsid w:val="00D7639C"/>
    <w:rsid w:val="00D77165"/>
    <w:rsid w:val="00D77D82"/>
    <w:rsid w:val="00D77FD2"/>
    <w:rsid w:val="00D80380"/>
    <w:rsid w:val="00D81C96"/>
    <w:rsid w:val="00D838DD"/>
    <w:rsid w:val="00D85119"/>
    <w:rsid w:val="00D86510"/>
    <w:rsid w:val="00D866FB"/>
    <w:rsid w:val="00D87C83"/>
    <w:rsid w:val="00D90882"/>
    <w:rsid w:val="00D909DF"/>
    <w:rsid w:val="00D92A15"/>
    <w:rsid w:val="00D92C77"/>
    <w:rsid w:val="00D92E34"/>
    <w:rsid w:val="00D93667"/>
    <w:rsid w:val="00D945D2"/>
    <w:rsid w:val="00D948AD"/>
    <w:rsid w:val="00D951B9"/>
    <w:rsid w:val="00D962C5"/>
    <w:rsid w:val="00D96E07"/>
    <w:rsid w:val="00D96F0A"/>
    <w:rsid w:val="00D97F74"/>
    <w:rsid w:val="00DA1087"/>
    <w:rsid w:val="00DA1208"/>
    <w:rsid w:val="00DA1D7B"/>
    <w:rsid w:val="00DA3506"/>
    <w:rsid w:val="00DA494D"/>
    <w:rsid w:val="00DA4F1D"/>
    <w:rsid w:val="00DA5EC5"/>
    <w:rsid w:val="00DB232E"/>
    <w:rsid w:val="00DB3E6D"/>
    <w:rsid w:val="00DB436A"/>
    <w:rsid w:val="00DB58CA"/>
    <w:rsid w:val="00DB6712"/>
    <w:rsid w:val="00DB6BC4"/>
    <w:rsid w:val="00DB7FFC"/>
    <w:rsid w:val="00DC141C"/>
    <w:rsid w:val="00DC22FF"/>
    <w:rsid w:val="00DC24DE"/>
    <w:rsid w:val="00DC2DD4"/>
    <w:rsid w:val="00DC3E95"/>
    <w:rsid w:val="00DC6810"/>
    <w:rsid w:val="00DC7722"/>
    <w:rsid w:val="00DD18B8"/>
    <w:rsid w:val="00DD35C8"/>
    <w:rsid w:val="00DD3FE5"/>
    <w:rsid w:val="00DD4824"/>
    <w:rsid w:val="00DD5133"/>
    <w:rsid w:val="00DD6C9D"/>
    <w:rsid w:val="00DD73CF"/>
    <w:rsid w:val="00DD7405"/>
    <w:rsid w:val="00DE10A7"/>
    <w:rsid w:val="00DE21E8"/>
    <w:rsid w:val="00DE4CB8"/>
    <w:rsid w:val="00DE568D"/>
    <w:rsid w:val="00DE6599"/>
    <w:rsid w:val="00DE6971"/>
    <w:rsid w:val="00DF0207"/>
    <w:rsid w:val="00DF2879"/>
    <w:rsid w:val="00DF2E34"/>
    <w:rsid w:val="00DF3226"/>
    <w:rsid w:val="00DF4AF7"/>
    <w:rsid w:val="00DF504D"/>
    <w:rsid w:val="00DF778B"/>
    <w:rsid w:val="00DF783C"/>
    <w:rsid w:val="00E01308"/>
    <w:rsid w:val="00E01E86"/>
    <w:rsid w:val="00E02D65"/>
    <w:rsid w:val="00E0317A"/>
    <w:rsid w:val="00E0336F"/>
    <w:rsid w:val="00E034B2"/>
    <w:rsid w:val="00E04CE3"/>
    <w:rsid w:val="00E07816"/>
    <w:rsid w:val="00E1173D"/>
    <w:rsid w:val="00E11D35"/>
    <w:rsid w:val="00E12AE7"/>
    <w:rsid w:val="00E12DBB"/>
    <w:rsid w:val="00E1337C"/>
    <w:rsid w:val="00E14310"/>
    <w:rsid w:val="00E14F24"/>
    <w:rsid w:val="00E156FA"/>
    <w:rsid w:val="00E16DF3"/>
    <w:rsid w:val="00E17DFB"/>
    <w:rsid w:val="00E17E79"/>
    <w:rsid w:val="00E2014A"/>
    <w:rsid w:val="00E21AA7"/>
    <w:rsid w:val="00E23155"/>
    <w:rsid w:val="00E23FF5"/>
    <w:rsid w:val="00E24A0D"/>
    <w:rsid w:val="00E2610C"/>
    <w:rsid w:val="00E264BA"/>
    <w:rsid w:val="00E26BF6"/>
    <w:rsid w:val="00E2723F"/>
    <w:rsid w:val="00E2739A"/>
    <w:rsid w:val="00E27581"/>
    <w:rsid w:val="00E3078D"/>
    <w:rsid w:val="00E315ED"/>
    <w:rsid w:val="00E34DE5"/>
    <w:rsid w:val="00E34E98"/>
    <w:rsid w:val="00E350E3"/>
    <w:rsid w:val="00E364A3"/>
    <w:rsid w:val="00E37C35"/>
    <w:rsid w:val="00E41174"/>
    <w:rsid w:val="00E454DF"/>
    <w:rsid w:val="00E461F9"/>
    <w:rsid w:val="00E4666F"/>
    <w:rsid w:val="00E46ACA"/>
    <w:rsid w:val="00E475E5"/>
    <w:rsid w:val="00E52958"/>
    <w:rsid w:val="00E55328"/>
    <w:rsid w:val="00E55871"/>
    <w:rsid w:val="00E563EA"/>
    <w:rsid w:val="00E566C4"/>
    <w:rsid w:val="00E5773B"/>
    <w:rsid w:val="00E62B7D"/>
    <w:rsid w:val="00E62D62"/>
    <w:rsid w:val="00E637DA"/>
    <w:rsid w:val="00E64176"/>
    <w:rsid w:val="00E64390"/>
    <w:rsid w:val="00E646DB"/>
    <w:rsid w:val="00E6558D"/>
    <w:rsid w:val="00E73DBD"/>
    <w:rsid w:val="00E756C0"/>
    <w:rsid w:val="00E80A57"/>
    <w:rsid w:val="00E83927"/>
    <w:rsid w:val="00E839FF"/>
    <w:rsid w:val="00E84E31"/>
    <w:rsid w:val="00E84E4B"/>
    <w:rsid w:val="00E85D67"/>
    <w:rsid w:val="00E85EAA"/>
    <w:rsid w:val="00E85FF5"/>
    <w:rsid w:val="00E86976"/>
    <w:rsid w:val="00E87678"/>
    <w:rsid w:val="00E87E33"/>
    <w:rsid w:val="00E90C3A"/>
    <w:rsid w:val="00E9110B"/>
    <w:rsid w:val="00E92283"/>
    <w:rsid w:val="00E92284"/>
    <w:rsid w:val="00E950C1"/>
    <w:rsid w:val="00E96321"/>
    <w:rsid w:val="00E96560"/>
    <w:rsid w:val="00E96946"/>
    <w:rsid w:val="00E97827"/>
    <w:rsid w:val="00E97B9A"/>
    <w:rsid w:val="00EA3294"/>
    <w:rsid w:val="00EA4C04"/>
    <w:rsid w:val="00EA4FA9"/>
    <w:rsid w:val="00EB117B"/>
    <w:rsid w:val="00EB1AAB"/>
    <w:rsid w:val="00EB1E6F"/>
    <w:rsid w:val="00EB2392"/>
    <w:rsid w:val="00EB34D9"/>
    <w:rsid w:val="00EB39C1"/>
    <w:rsid w:val="00EB55D3"/>
    <w:rsid w:val="00EB5998"/>
    <w:rsid w:val="00EC2A14"/>
    <w:rsid w:val="00EC4A54"/>
    <w:rsid w:val="00EC4CDF"/>
    <w:rsid w:val="00EC68C1"/>
    <w:rsid w:val="00EC7375"/>
    <w:rsid w:val="00EC770B"/>
    <w:rsid w:val="00EC78B8"/>
    <w:rsid w:val="00EC79E2"/>
    <w:rsid w:val="00EC7AFA"/>
    <w:rsid w:val="00ED02AC"/>
    <w:rsid w:val="00ED0A20"/>
    <w:rsid w:val="00ED0BEA"/>
    <w:rsid w:val="00ED124B"/>
    <w:rsid w:val="00ED1E1D"/>
    <w:rsid w:val="00ED24D6"/>
    <w:rsid w:val="00ED5909"/>
    <w:rsid w:val="00ED5E39"/>
    <w:rsid w:val="00ED6C43"/>
    <w:rsid w:val="00EE0B56"/>
    <w:rsid w:val="00EE2493"/>
    <w:rsid w:val="00EE2880"/>
    <w:rsid w:val="00EE3DBA"/>
    <w:rsid w:val="00EF0058"/>
    <w:rsid w:val="00EF30C8"/>
    <w:rsid w:val="00EF44A3"/>
    <w:rsid w:val="00F00A62"/>
    <w:rsid w:val="00F03C43"/>
    <w:rsid w:val="00F04376"/>
    <w:rsid w:val="00F067B8"/>
    <w:rsid w:val="00F06871"/>
    <w:rsid w:val="00F07344"/>
    <w:rsid w:val="00F07982"/>
    <w:rsid w:val="00F07ADF"/>
    <w:rsid w:val="00F1009F"/>
    <w:rsid w:val="00F10BFA"/>
    <w:rsid w:val="00F15D90"/>
    <w:rsid w:val="00F1632C"/>
    <w:rsid w:val="00F16577"/>
    <w:rsid w:val="00F16F45"/>
    <w:rsid w:val="00F204FE"/>
    <w:rsid w:val="00F21A02"/>
    <w:rsid w:val="00F253D9"/>
    <w:rsid w:val="00F25F5E"/>
    <w:rsid w:val="00F2630D"/>
    <w:rsid w:val="00F35E53"/>
    <w:rsid w:val="00F40CFE"/>
    <w:rsid w:val="00F4189E"/>
    <w:rsid w:val="00F42D2D"/>
    <w:rsid w:val="00F42EA9"/>
    <w:rsid w:val="00F45CBF"/>
    <w:rsid w:val="00F45FC5"/>
    <w:rsid w:val="00F5019D"/>
    <w:rsid w:val="00F5072E"/>
    <w:rsid w:val="00F515ED"/>
    <w:rsid w:val="00F52E89"/>
    <w:rsid w:val="00F54709"/>
    <w:rsid w:val="00F57973"/>
    <w:rsid w:val="00F62014"/>
    <w:rsid w:val="00F627FB"/>
    <w:rsid w:val="00F6301C"/>
    <w:rsid w:val="00F633FA"/>
    <w:rsid w:val="00F637D8"/>
    <w:rsid w:val="00F64740"/>
    <w:rsid w:val="00F648A8"/>
    <w:rsid w:val="00F65333"/>
    <w:rsid w:val="00F65920"/>
    <w:rsid w:val="00F67A31"/>
    <w:rsid w:val="00F71714"/>
    <w:rsid w:val="00F72E3A"/>
    <w:rsid w:val="00F75864"/>
    <w:rsid w:val="00F7679D"/>
    <w:rsid w:val="00F7703B"/>
    <w:rsid w:val="00F770D9"/>
    <w:rsid w:val="00F80D12"/>
    <w:rsid w:val="00F82511"/>
    <w:rsid w:val="00F83BB9"/>
    <w:rsid w:val="00F85A54"/>
    <w:rsid w:val="00F85E44"/>
    <w:rsid w:val="00F8700C"/>
    <w:rsid w:val="00F90DAC"/>
    <w:rsid w:val="00F90E9C"/>
    <w:rsid w:val="00F923B1"/>
    <w:rsid w:val="00F94C1B"/>
    <w:rsid w:val="00F954C5"/>
    <w:rsid w:val="00F965B7"/>
    <w:rsid w:val="00F969C6"/>
    <w:rsid w:val="00F9766B"/>
    <w:rsid w:val="00FA07F7"/>
    <w:rsid w:val="00FA1186"/>
    <w:rsid w:val="00FA12AF"/>
    <w:rsid w:val="00FA1DC2"/>
    <w:rsid w:val="00FA1FC6"/>
    <w:rsid w:val="00FA229B"/>
    <w:rsid w:val="00FA3369"/>
    <w:rsid w:val="00FA44C9"/>
    <w:rsid w:val="00FA5289"/>
    <w:rsid w:val="00FA5603"/>
    <w:rsid w:val="00FA64D3"/>
    <w:rsid w:val="00FA6DDE"/>
    <w:rsid w:val="00FA742E"/>
    <w:rsid w:val="00FA799B"/>
    <w:rsid w:val="00FB121E"/>
    <w:rsid w:val="00FB247E"/>
    <w:rsid w:val="00FB278B"/>
    <w:rsid w:val="00FB38CC"/>
    <w:rsid w:val="00FB38FA"/>
    <w:rsid w:val="00FB3BCD"/>
    <w:rsid w:val="00FB5057"/>
    <w:rsid w:val="00FB5588"/>
    <w:rsid w:val="00FB6396"/>
    <w:rsid w:val="00FC1EDD"/>
    <w:rsid w:val="00FC200A"/>
    <w:rsid w:val="00FC2B58"/>
    <w:rsid w:val="00FC5ACC"/>
    <w:rsid w:val="00FD0492"/>
    <w:rsid w:val="00FD0D2D"/>
    <w:rsid w:val="00FD11CB"/>
    <w:rsid w:val="00FD1EC8"/>
    <w:rsid w:val="00FD2D04"/>
    <w:rsid w:val="00FD3AEB"/>
    <w:rsid w:val="00FD440E"/>
    <w:rsid w:val="00FD5A64"/>
    <w:rsid w:val="00FD5B02"/>
    <w:rsid w:val="00FE01A0"/>
    <w:rsid w:val="00FE211B"/>
    <w:rsid w:val="00FE32D3"/>
    <w:rsid w:val="00FE3671"/>
    <w:rsid w:val="00FE41FE"/>
    <w:rsid w:val="00FE4A35"/>
    <w:rsid w:val="00FE6B73"/>
    <w:rsid w:val="00FE7391"/>
    <w:rsid w:val="00FE7976"/>
    <w:rsid w:val="00FE7A6B"/>
    <w:rsid w:val="00FF0308"/>
    <w:rsid w:val="00FF03E8"/>
    <w:rsid w:val="00FF0C04"/>
    <w:rsid w:val="00FF1360"/>
    <w:rsid w:val="00FF2F90"/>
    <w:rsid w:val="00FF3078"/>
    <w:rsid w:val="00FF44B3"/>
    <w:rsid w:val="00FF6DA0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99"/>
  </w:style>
  <w:style w:type="paragraph" w:styleId="Heading1">
    <w:name w:val="heading 1"/>
    <w:basedOn w:val="Normal"/>
    <w:next w:val="Normal"/>
    <w:link w:val="Heading1Char"/>
    <w:uiPriority w:val="9"/>
    <w:qFormat/>
    <w:rsid w:val="00281E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9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7B2F"/>
  </w:style>
  <w:style w:type="character" w:styleId="Emphasis">
    <w:name w:val="Emphasis"/>
    <w:basedOn w:val="DefaultParagraphFont"/>
    <w:uiPriority w:val="20"/>
    <w:qFormat/>
    <w:rsid w:val="009B7B2F"/>
    <w:rPr>
      <w:i/>
      <w:iCs/>
    </w:rPr>
  </w:style>
  <w:style w:type="numbering" w:customStyle="1" w:styleId="NoList1">
    <w:name w:val="No List1"/>
    <w:next w:val="ListNo1"/>
    <w:uiPriority w:val="99"/>
    <w:semiHidden/>
    <w:unhideWhenUsed/>
    <w:rsid w:val="001E04DA"/>
  </w:style>
  <w:style w:type="table" w:customStyle="1" w:styleId="TableGrid1">
    <w:name w:val="Table Grid1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0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04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2">
    <w:name w:val="Table Grid2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A"/>
    <w:rPr>
      <w:sz w:val="20"/>
      <w:szCs w:val="20"/>
    </w:rPr>
  </w:style>
  <w:style w:type="paragraph" w:customStyle="1" w:styleId="Default">
    <w:name w:val="Default"/>
    <w:rsid w:val="001E0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DA"/>
  </w:style>
  <w:style w:type="paragraph" w:styleId="Footer">
    <w:name w:val="footer"/>
    <w:basedOn w:val="Normal"/>
    <w:link w:val="Foot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DA"/>
  </w:style>
  <w:style w:type="table" w:customStyle="1" w:styleId="TableGrid3">
    <w:name w:val="Table Grid3"/>
    <w:basedOn w:val="TableNormal"/>
    <w:next w:val="TableGrid"/>
    <w:uiPriority w:val="59"/>
    <w:rsid w:val="00A6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6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ListNo1"/>
    <w:uiPriority w:val="99"/>
    <w:semiHidden/>
    <w:unhideWhenUsed/>
    <w:rsid w:val="00C96E60"/>
  </w:style>
  <w:style w:type="table" w:customStyle="1" w:styleId="TableGrid10">
    <w:name w:val="Table Grid10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ListNo1"/>
    <w:uiPriority w:val="99"/>
    <w:semiHidden/>
    <w:unhideWhenUsed/>
    <w:rsid w:val="00C96E60"/>
  </w:style>
  <w:style w:type="table" w:customStyle="1" w:styleId="TableGrid12">
    <w:name w:val="Table Grid12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basedOn w:val="Normal"/>
    <w:link w:val="Head3Char"/>
    <w:qFormat/>
    <w:rsid w:val="00BB0081"/>
    <w:pPr>
      <w:spacing w:after="0" w:line="240" w:lineRule="auto"/>
      <w:jc w:val="both"/>
      <w:outlineLvl w:val="1"/>
    </w:pPr>
    <w:rPr>
      <w:rFonts w:ascii="Arial" w:hAnsi="Arial" w:cs="Arial"/>
      <w:lang w:val="en-GB"/>
    </w:rPr>
  </w:style>
  <w:style w:type="character" w:customStyle="1" w:styleId="Head3Char">
    <w:name w:val="Head3 Char"/>
    <w:basedOn w:val="DefaultParagraphFont"/>
    <w:link w:val="Head3"/>
    <w:rsid w:val="00BB0081"/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40CA3"/>
    <w:pPr>
      <w:tabs>
        <w:tab w:val="right" w:pos="9182"/>
      </w:tabs>
      <w:spacing w:before="120" w:after="0"/>
    </w:pPr>
    <w:rPr>
      <w:rFonts w:eastAsia="Times New Roman" w:cs="Arial"/>
      <w:b/>
      <w:bCs/>
      <w:i/>
      <w:iCs/>
      <w:noProof/>
      <w:kern w:val="32"/>
      <w:sz w:val="24"/>
      <w:szCs w:val="24"/>
      <w:lang w:val="en-US"/>
    </w:rPr>
  </w:style>
  <w:style w:type="table" w:customStyle="1" w:styleId="TableGrid28">
    <w:name w:val="Table Grid28"/>
    <w:basedOn w:val="TableNormal"/>
    <w:next w:val="TableGrid"/>
    <w:uiPriority w:val="59"/>
    <w:rsid w:val="00D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ListNo1"/>
    <w:uiPriority w:val="99"/>
    <w:semiHidden/>
    <w:unhideWhenUsed/>
    <w:rsid w:val="00F21A02"/>
  </w:style>
  <w:style w:type="table" w:customStyle="1" w:styleId="TableGrid20">
    <w:name w:val="Table Grid20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ListNo1"/>
    <w:uiPriority w:val="99"/>
    <w:semiHidden/>
    <w:unhideWhenUsed/>
    <w:rsid w:val="00F21A02"/>
  </w:style>
  <w:style w:type="table" w:customStyle="1" w:styleId="TableGrid113">
    <w:name w:val="Table Grid11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ListNo1"/>
    <w:uiPriority w:val="99"/>
    <w:semiHidden/>
    <w:unhideWhenUsed/>
    <w:rsid w:val="00F21A02"/>
  </w:style>
  <w:style w:type="table" w:customStyle="1" w:styleId="TableGrid104">
    <w:name w:val="Table Grid10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ListNo1"/>
    <w:uiPriority w:val="99"/>
    <w:semiHidden/>
    <w:unhideWhenUsed/>
    <w:rsid w:val="00F21A02"/>
  </w:style>
  <w:style w:type="table" w:customStyle="1" w:styleId="TableGrid121">
    <w:name w:val="Table Grid12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0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350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F7F63"/>
    <w:pPr>
      <w:spacing w:before="120" w:after="0"/>
      <w:ind w:left="220"/>
    </w:pPr>
    <w:rPr>
      <w:b/>
      <w:bCs/>
    </w:rPr>
  </w:style>
  <w:style w:type="table" w:customStyle="1" w:styleId="SDGStyle">
    <w:name w:val="SDG Style"/>
    <w:basedOn w:val="TableNormal"/>
    <w:next w:val="TableGrid"/>
    <w:uiPriority w:val="59"/>
    <w:rsid w:val="002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E143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Shading">
    <w:name w:val="Light Shading"/>
    <w:basedOn w:val="TableNormal"/>
    <w:uiPriority w:val="60"/>
    <w:rsid w:val="005F4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Accent4">
    <w:name w:val="List Colorful Accent 4"/>
    <w:basedOn w:val="TableNormal"/>
    <w:uiPriority w:val="72"/>
    <w:rsid w:val="005F43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640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640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640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uiPriority w:val="48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">
    <w:name w:val="List Table 2 - Accent 62"/>
    <w:basedOn w:val="TableNormal"/>
    <w:uiPriority w:val="47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">
    <w:name w:val="Table Grid29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">
    <w:name w:val="SDG Style1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">
    <w:name w:val="SDG Style2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">
    <w:name w:val="SDG Style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">
    <w:name w:val="SDG Style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">
    <w:name w:val="List Colorful - Accent 41"/>
    <w:basedOn w:val="TableNormal"/>
    <w:next w:val="ListColorfulAccent4"/>
    <w:uiPriority w:val="72"/>
    <w:rsid w:val="005258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">
    <w:name w:val="SDG Style5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">
    <w:name w:val="SDG Style6"/>
    <w:basedOn w:val="TableNormal"/>
    <w:next w:val="TableGrid"/>
    <w:uiPriority w:val="59"/>
    <w:rsid w:val="00D3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">
    <w:name w:val="SDG Style7"/>
    <w:basedOn w:val="TableNormal"/>
    <w:next w:val="TableGrid"/>
    <w:uiPriority w:val="59"/>
    <w:rsid w:val="008A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">
    <w:name w:val="SDG Style8"/>
    <w:basedOn w:val="TableNormal"/>
    <w:next w:val="TableGrid"/>
    <w:uiPriority w:val="59"/>
    <w:rsid w:val="0092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9">
    <w:name w:val="SDG Style9"/>
    <w:basedOn w:val="TableNormal"/>
    <w:next w:val="TableGrid"/>
    <w:uiPriority w:val="59"/>
    <w:rsid w:val="007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018A0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18A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18A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18A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18A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18A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18A0"/>
    <w:pPr>
      <w:spacing w:after="0"/>
      <w:ind w:left="1760"/>
    </w:pPr>
    <w:rPr>
      <w:sz w:val="20"/>
      <w:szCs w:val="20"/>
    </w:rPr>
  </w:style>
  <w:style w:type="table" w:customStyle="1" w:styleId="TableGrid35">
    <w:name w:val="Table Grid35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0">
    <w:name w:val="SDG Style10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ListNo0"/>
    <w:uiPriority w:val="99"/>
    <w:semiHidden/>
    <w:unhideWhenUsed/>
    <w:rsid w:val="00E3078D"/>
  </w:style>
  <w:style w:type="numbering" w:customStyle="1" w:styleId="ListNo10">
    <w:name w:val="List No1"/>
    <w:uiPriority w:val="99"/>
    <w:semiHidden/>
    <w:unhideWhenUsed/>
    <w:rsid w:val="00E3078D"/>
  </w:style>
  <w:style w:type="table" w:customStyle="1" w:styleId="TableGrid36">
    <w:name w:val="Table Grid3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ListNo1"/>
    <w:uiPriority w:val="99"/>
    <w:semiHidden/>
    <w:unhideWhenUsed/>
    <w:rsid w:val="00E3078D"/>
  </w:style>
  <w:style w:type="table" w:customStyle="1" w:styleId="TableGrid115">
    <w:name w:val="Table Grid11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ListNo1"/>
    <w:uiPriority w:val="99"/>
    <w:semiHidden/>
    <w:unhideWhenUsed/>
    <w:rsid w:val="00E3078D"/>
  </w:style>
  <w:style w:type="table" w:customStyle="1" w:styleId="TableGrid105">
    <w:name w:val="Table Grid10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ListNo1"/>
    <w:uiPriority w:val="99"/>
    <w:semiHidden/>
    <w:unhideWhenUsed/>
    <w:rsid w:val="00E3078D"/>
  </w:style>
  <w:style w:type="table" w:customStyle="1" w:styleId="TableGrid122">
    <w:name w:val="Table Grid12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ListNo1"/>
    <w:uiPriority w:val="99"/>
    <w:semiHidden/>
    <w:unhideWhenUsed/>
    <w:rsid w:val="00E3078D"/>
  </w:style>
  <w:style w:type="table" w:customStyle="1" w:styleId="TableGrid201">
    <w:name w:val="Table Grid2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ListNo1"/>
    <w:uiPriority w:val="99"/>
    <w:semiHidden/>
    <w:unhideWhenUsed/>
    <w:rsid w:val="00E3078D"/>
  </w:style>
  <w:style w:type="table" w:customStyle="1" w:styleId="TableGrid1131">
    <w:name w:val="Table Grid11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ListNo1"/>
    <w:uiPriority w:val="99"/>
    <w:semiHidden/>
    <w:unhideWhenUsed/>
    <w:rsid w:val="00E3078D"/>
  </w:style>
  <w:style w:type="table" w:customStyle="1" w:styleId="TableGrid1041">
    <w:name w:val="Table Grid10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ListNo1"/>
    <w:uiPriority w:val="99"/>
    <w:semiHidden/>
    <w:unhideWhenUsed/>
    <w:rsid w:val="00E3078D"/>
  </w:style>
  <w:style w:type="table" w:customStyle="1" w:styleId="TableGrid1211">
    <w:name w:val="Table Grid12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1">
    <w:name w:val="SDG Style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1">
    <w:name w:val="Grid Table 4 - Accent 211"/>
    <w:basedOn w:val="TableNormal"/>
    <w:uiPriority w:val="49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E307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-Accent42">
    <w:name w:val="List Colorful - Accent 42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1">
    <w:name w:val="List Table 7 Colorful - Accent 411"/>
    <w:basedOn w:val="TableNormal"/>
    <w:uiPriority w:val="52"/>
    <w:rsid w:val="00E30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E307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1">
    <w:name w:val="List Table 7 Colorful - Accent 611"/>
    <w:basedOn w:val="TableNormal"/>
    <w:uiPriority w:val="52"/>
    <w:rsid w:val="00E307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1">
    <w:name w:val="List Table 2 - Accent 5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1">
    <w:name w:val="List Table 2 - Accent 6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1">
    <w:name w:val="List Table 31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1">
    <w:name w:val="List Table 32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1">
    <w:name w:val="List Table 2 - Accent 62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2">
    <w:name w:val="SDG Style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1">
    <w:name w:val="SDG Style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1">
    <w:name w:val="SDG Style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1">
    <w:name w:val="SDG Style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1">
    <w:name w:val="List Colorful - Accent 411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1">
    <w:name w:val="SDG Style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1">
    <w:name w:val="SDG Style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1">
    <w:name w:val="SDG Style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ListNo0"/>
    <w:uiPriority w:val="99"/>
    <w:semiHidden/>
    <w:unhideWhenUsed/>
    <w:rsid w:val="00E3078D"/>
  </w:style>
  <w:style w:type="table" w:customStyle="1" w:styleId="SDGStyle13">
    <w:name w:val="SDG Style13"/>
    <w:basedOn w:val="TableNormal"/>
    <w:next w:val="TableGrid"/>
    <w:uiPriority w:val="59"/>
    <w:rsid w:val="001A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4">
    <w:name w:val="SDG Style14"/>
    <w:basedOn w:val="TableNormal"/>
    <w:uiPriority w:val="59"/>
    <w:rsid w:val="00685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5">
    <w:name w:val="SDG Style15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1">
    <w:name w:val="SDG Style81"/>
    <w:basedOn w:val="TableNormal"/>
    <w:uiPriority w:val="59"/>
    <w:rsid w:val="00810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20A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99"/>
  </w:style>
  <w:style w:type="paragraph" w:styleId="Heading1">
    <w:name w:val="heading 1"/>
    <w:basedOn w:val="Normal"/>
    <w:next w:val="Normal"/>
    <w:link w:val="Heading1Char"/>
    <w:uiPriority w:val="9"/>
    <w:qFormat/>
    <w:rsid w:val="00281E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9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7B2F"/>
  </w:style>
  <w:style w:type="character" w:styleId="Emphasis">
    <w:name w:val="Emphasis"/>
    <w:basedOn w:val="DefaultParagraphFont"/>
    <w:uiPriority w:val="20"/>
    <w:qFormat/>
    <w:rsid w:val="009B7B2F"/>
    <w:rPr>
      <w:i/>
      <w:iCs/>
    </w:rPr>
  </w:style>
  <w:style w:type="numbering" w:customStyle="1" w:styleId="NoList1">
    <w:name w:val="No List1"/>
    <w:next w:val="ListNo1"/>
    <w:uiPriority w:val="99"/>
    <w:semiHidden/>
    <w:unhideWhenUsed/>
    <w:rsid w:val="001E04DA"/>
  </w:style>
  <w:style w:type="table" w:customStyle="1" w:styleId="TableGrid1">
    <w:name w:val="Table Grid1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0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04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2">
    <w:name w:val="Table Grid2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A"/>
    <w:rPr>
      <w:sz w:val="20"/>
      <w:szCs w:val="20"/>
    </w:rPr>
  </w:style>
  <w:style w:type="paragraph" w:customStyle="1" w:styleId="Default">
    <w:name w:val="Default"/>
    <w:rsid w:val="001E0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DA"/>
  </w:style>
  <w:style w:type="paragraph" w:styleId="Footer">
    <w:name w:val="footer"/>
    <w:basedOn w:val="Normal"/>
    <w:link w:val="Foot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DA"/>
  </w:style>
  <w:style w:type="table" w:customStyle="1" w:styleId="TableGrid3">
    <w:name w:val="Table Grid3"/>
    <w:basedOn w:val="TableNormal"/>
    <w:next w:val="TableGrid"/>
    <w:uiPriority w:val="59"/>
    <w:rsid w:val="00A6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6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ListNo1"/>
    <w:uiPriority w:val="99"/>
    <w:semiHidden/>
    <w:unhideWhenUsed/>
    <w:rsid w:val="00C96E60"/>
  </w:style>
  <w:style w:type="table" w:customStyle="1" w:styleId="TableGrid10">
    <w:name w:val="Table Grid10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ListNo1"/>
    <w:uiPriority w:val="99"/>
    <w:semiHidden/>
    <w:unhideWhenUsed/>
    <w:rsid w:val="00C96E60"/>
  </w:style>
  <w:style w:type="table" w:customStyle="1" w:styleId="TableGrid12">
    <w:name w:val="Table Grid12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basedOn w:val="Normal"/>
    <w:link w:val="Head3Char"/>
    <w:qFormat/>
    <w:rsid w:val="00BB0081"/>
    <w:pPr>
      <w:spacing w:after="0" w:line="240" w:lineRule="auto"/>
      <w:jc w:val="both"/>
      <w:outlineLvl w:val="1"/>
    </w:pPr>
    <w:rPr>
      <w:rFonts w:ascii="Arial" w:hAnsi="Arial" w:cs="Arial"/>
      <w:lang w:val="en-GB"/>
    </w:rPr>
  </w:style>
  <w:style w:type="character" w:customStyle="1" w:styleId="Head3Char">
    <w:name w:val="Head3 Char"/>
    <w:basedOn w:val="DefaultParagraphFont"/>
    <w:link w:val="Head3"/>
    <w:rsid w:val="00BB0081"/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40CA3"/>
    <w:pPr>
      <w:tabs>
        <w:tab w:val="right" w:pos="9182"/>
      </w:tabs>
      <w:spacing w:before="120" w:after="0"/>
    </w:pPr>
    <w:rPr>
      <w:rFonts w:eastAsia="Times New Roman" w:cs="Arial"/>
      <w:b/>
      <w:bCs/>
      <w:i/>
      <w:iCs/>
      <w:noProof/>
      <w:kern w:val="32"/>
      <w:sz w:val="24"/>
      <w:szCs w:val="24"/>
      <w:lang w:val="en-US"/>
    </w:rPr>
  </w:style>
  <w:style w:type="table" w:customStyle="1" w:styleId="TableGrid28">
    <w:name w:val="Table Grid28"/>
    <w:basedOn w:val="TableNormal"/>
    <w:next w:val="TableGrid"/>
    <w:uiPriority w:val="59"/>
    <w:rsid w:val="00D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ListNo1"/>
    <w:uiPriority w:val="99"/>
    <w:semiHidden/>
    <w:unhideWhenUsed/>
    <w:rsid w:val="00F21A02"/>
  </w:style>
  <w:style w:type="table" w:customStyle="1" w:styleId="TableGrid20">
    <w:name w:val="Table Grid20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ListNo1"/>
    <w:uiPriority w:val="99"/>
    <w:semiHidden/>
    <w:unhideWhenUsed/>
    <w:rsid w:val="00F21A02"/>
  </w:style>
  <w:style w:type="table" w:customStyle="1" w:styleId="TableGrid113">
    <w:name w:val="Table Grid11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ListNo1"/>
    <w:uiPriority w:val="99"/>
    <w:semiHidden/>
    <w:unhideWhenUsed/>
    <w:rsid w:val="00F21A02"/>
  </w:style>
  <w:style w:type="table" w:customStyle="1" w:styleId="TableGrid104">
    <w:name w:val="Table Grid10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ListNo1"/>
    <w:uiPriority w:val="99"/>
    <w:semiHidden/>
    <w:unhideWhenUsed/>
    <w:rsid w:val="00F21A02"/>
  </w:style>
  <w:style w:type="table" w:customStyle="1" w:styleId="TableGrid121">
    <w:name w:val="Table Grid12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0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350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F7F63"/>
    <w:pPr>
      <w:spacing w:before="120" w:after="0"/>
      <w:ind w:left="220"/>
    </w:pPr>
    <w:rPr>
      <w:b/>
      <w:bCs/>
    </w:rPr>
  </w:style>
  <w:style w:type="table" w:customStyle="1" w:styleId="SDGStyle">
    <w:name w:val="SDG Style"/>
    <w:basedOn w:val="TableNormal"/>
    <w:next w:val="TableGrid"/>
    <w:uiPriority w:val="59"/>
    <w:rsid w:val="002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E143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Shading">
    <w:name w:val="Light Shading"/>
    <w:basedOn w:val="TableNormal"/>
    <w:uiPriority w:val="60"/>
    <w:rsid w:val="005F4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Accent4">
    <w:name w:val="List Colorful Accent 4"/>
    <w:basedOn w:val="TableNormal"/>
    <w:uiPriority w:val="72"/>
    <w:rsid w:val="005F43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640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640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640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uiPriority w:val="48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">
    <w:name w:val="List Table 2 - Accent 62"/>
    <w:basedOn w:val="TableNormal"/>
    <w:uiPriority w:val="47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">
    <w:name w:val="Table Grid29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">
    <w:name w:val="SDG Style1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">
    <w:name w:val="SDG Style2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">
    <w:name w:val="SDG Style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">
    <w:name w:val="SDG Style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">
    <w:name w:val="List Colorful - Accent 41"/>
    <w:basedOn w:val="TableNormal"/>
    <w:next w:val="ListColorfulAccent4"/>
    <w:uiPriority w:val="72"/>
    <w:rsid w:val="005258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">
    <w:name w:val="SDG Style5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">
    <w:name w:val="SDG Style6"/>
    <w:basedOn w:val="TableNormal"/>
    <w:next w:val="TableGrid"/>
    <w:uiPriority w:val="59"/>
    <w:rsid w:val="00D3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">
    <w:name w:val="SDG Style7"/>
    <w:basedOn w:val="TableNormal"/>
    <w:next w:val="TableGrid"/>
    <w:uiPriority w:val="59"/>
    <w:rsid w:val="008A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">
    <w:name w:val="SDG Style8"/>
    <w:basedOn w:val="TableNormal"/>
    <w:next w:val="TableGrid"/>
    <w:uiPriority w:val="59"/>
    <w:rsid w:val="0092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9">
    <w:name w:val="SDG Style9"/>
    <w:basedOn w:val="TableNormal"/>
    <w:next w:val="TableGrid"/>
    <w:uiPriority w:val="59"/>
    <w:rsid w:val="007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018A0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18A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18A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18A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18A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18A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18A0"/>
    <w:pPr>
      <w:spacing w:after="0"/>
      <w:ind w:left="1760"/>
    </w:pPr>
    <w:rPr>
      <w:sz w:val="20"/>
      <w:szCs w:val="20"/>
    </w:rPr>
  </w:style>
  <w:style w:type="table" w:customStyle="1" w:styleId="TableGrid35">
    <w:name w:val="Table Grid35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0">
    <w:name w:val="SDG Style10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ListNo0"/>
    <w:uiPriority w:val="99"/>
    <w:semiHidden/>
    <w:unhideWhenUsed/>
    <w:rsid w:val="00E3078D"/>
  </w:style>
  <w:style w:type="numbering" w:customStyle="1" w:styleId="ListNo10">
    <w:name w:val="List No1"/>
    <w:uiPriority w:val="99"/>
    <w:semiHidden/>
    <w:unhideWhenUsed/>
    <w:rsid w:val="00E3078D"/>
  </w:style>
  <w:style w:type="table" w:customStyle="1" w:styleId="TableGrid36">
    <w:name w:val="Table Grid3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ListNo1"/>
    <w:uiPriority w:val="99"/>
    <w:semiHidden/>
    <w:unhideWhenUsed/>
    <w:rsid w:val="00E3078D"/>
  </w:style>
  <w:style w:type="table" w:customStyle="1" w:styleId="TableGrid115">
    <w:name w:val="Table Grid11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ListNo1"/>
    <w:uiPriority w:val="99"/>
    <w:semiHidden/>
    <w:unhideWhenUsed/>
    <w:rsid w:val="00E3078D"/>
  </w:style>
  <w:style w:type="table" w:customStyle="1" w:styleId="TableGrid105">
    <w:name w:val="Table Grid10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ListNo1"/>
    <w:uiPriority w:val="99"/>
    <w:semiHidden/>
    <w:unhideWhenUsed/>
    <w:rsid w:val="00E3078D"/>
  </w:style>
  <w:style w:type="table" w:customStyle="1" w:styleId="TableGrid122">
    <w:name w:val="Table Grid12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ListNo1"/>
    <w:uiPriority w:val="99"/>
    <w:semiHidden/>
    <w:unhideWhenUsed/>
    <w:rsid w:val="00E3078D"/>
  </w:style>
  <w:style w:type="table" w:customStyle="1" w:styleId="TableGrid201">
    <w:name w:val="Table Grid2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ListNo1"/>
    <w:uiPriority w:val="99"/>
    <w:semiHidden/>
    <w:unhideWhenUsed/>
    <w:rsid w:val="00E3078D"/>
  </w:style>
  <w:style w:type="table" w:customStyle="1" w:styleId="TableGrid1131">
    <w:name w:val="Table Grid11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ListNo1"/>
    <w:uiPriority w:val="99"/>
    <w:semiHidden/>
    <w:unhideWhenUsed/>
    <w:rsid w:val="00E3078D"/>
  </w:style>
  <w:style w:type="table" w:customStyle="1" w:styleId="TableGrid1041">
    <w:name w:val="Table Grid10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ListNo1"/>
    <w:uiPriority w:val="99"/>
    <w:semiHidden/>
    <w:unhideWhenUsed/>
    <w:rsid w:val="00E3078D"/>
  </w:style>
  <w:style w:type="table" w:customStyle="1" w:styleId="TableGrid1211">
    <w:name w:val="Table Grid12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1">
    <w:name w:val="SDG Style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1">
    <w:name w:val="Grid Table 4 - Accent 211"/>
    <w:basedOn w:val="TableNormal"/>
    <w:uiPriority w:val="49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E307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-Accent42">
    <w:name w:val="List Colorful - Accent 42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1">
    <w:name w:val="List Table 7 Colorful - Accent 411"/>
    <w:basedOn w:val="TableNormal"/>
    <w:uiPriority w:val="52"/>
    <w:rsid w:val="00E30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E307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1">
    <w:name w:val="List Table 7 Colorful - Accent 611"/>
    <w:basedOn w:val="TableNormal"/>
    <w:uiPriority w:val="52"/>
    <w:rsid w:val="00E307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1">
    <w:name w:val="List Table 2 - Accent 5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1">
    <w:name w:val="List Table 2 - Accent 6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1">
    <w:name w:val="List Table 31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1">
    <w:name w:val="List Table 32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1">
    <w:name w:val="List Table 2 - Accent 62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2">
    <w:name w:val="SDG Style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1">
    <w:name w:val="SDG Style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1">
    <w:name w:val="SDG Style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1">
    <w:name w:val="SDG Style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1">
    <w:name w:val="List Colorful - Accent 411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1">
    <w:name w:val="SDG Style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1">
    <w:name w:val="SDG Style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1">
    <w:name w:val="SDG Style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ListNo0"/>
    <w:uiPriority w:val="99"/>
    <w:semiHidden/>
    <w:unhideWhenUsed/>
    <w:rsid w:val="00E3078D"/>
  </w:style>
  <w:style w:type="table" w:customStyle="1" w:styleId="SDGStyle13">
    <w:name w:val="SDG Style13"/>
    <w:basedOn w:val="TableNormal"/>
    <w:next w:val="TableGrid"/>
    <w:uiPriority w:val="59"/>
    <w:rsid w:val="001A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4">
    <w:name w:val="SDG Style14"/>
    <w:basedOn w:val="TableNormal"/>
    <w:uiPriority w:val="59"/>
    <w:rsid w:val="00685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5">
    <w:name w:val="SDG Style15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1">
    <w:name w:val="SDG Style81"/>
    <w:basedOn w:val="TableNormal"/>
    <w:uiPriority w:val="59"/>
    <w:rsid w:val="00810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20A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J\Documents\GDS_WorksCapaci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ZA" sz="1200"/>
            </a:pPr>
            <a:r>
              <a:rPr lang="en-ZA" sz="1200" b="1" i="0" u="none" strike="noStrike" baseline="0">
                <a:effectLst/>
              </a:rPr>
              <a:t>Proportion of water containing waste safely treated and lawfully discharged</a:t>
            </a:r>
            <a:endParaRPr lang="en-ZA" sz="1200"/>
          </a:p>
        </c:rich>
      </c:tx>
      <c:layout>
        <c:manualLayout>
          <c:xMode val="edge"/>
          <c:yMode val="edge"/>
          <c:x val="0.13509033245844271"/>
          <c:y val="4.761904761904761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2900240594925636"/>
          <c:y val="0.30665006159944291"/>
          <c:w val="0.49899846894138233"/>
          <c:h val="0.5437436481734301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Sheet2!$E$2</c:f>
              <c:strCache>
                <c:ptCount val="1"/>
                <c:pt idx="0">
                  <c:v>Baseline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2.04081632653061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lang="en-ZA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Sheet2!$F$1:$H$1</c:f>
              <c:numCache>
                <c:formatCode>General</c:formatCode>
                <c:ptCount val="3"/>
                <c:pt idx="0">
                  <c:v>2017</c:v>
                </c:pt>
                <c:pt idx="1">
                  <c:v>2023</c:v>
                </c:pt>
                <c:pt idx="2">
                  <c:v>2030</c:v>
                </c:pt>
              </c:numCache>
            </c:numRef>
          </c:cat>
          <c:val>
            <c:numRef>
              <c:f>Sheet2!$F$2:$H$2</c:f>
              <c:numCache>
                <c:formatCode>General</c:formatCode>
                <c:ptCount val="3"/>
                <c:pt idx="0">
                  <c:v>0.52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763456"/>
        <c:axId val="207199552"/>
      </c:barChart>
      <c:catAx>
        <c:axId val="135763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7199552"/>
        <c:crosses val="autoZero"/>
        <c:auto val="1"/>
        <c:lblAlgn val="ctr"/>
        <c:lblOffset val="100"/>
        <c:noMultiLvlLbl val="0"/>
      </c:catAx>
      <c:valAx>
        <c:axId val="207199552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lang="en-ZA"/>
            </a:pPr>
            <a:endParaRPr lang="en-US"/>
          </a:p>
        </c:txPr>
        <c:crossAx val="135763456"/>
        <c:crosses val="autoZero"/>
        <c:crossBetween val="between"/>
        <c:majorUnit val="0.2"/>
      </c:valAx>
      <c:spPr>
        <a:noFill/>
      </c:spPr>
    </c:plotArea>
    <c:plotVisOnly val="1"/>
    <c:dispBlanksAs val="gap"/>
    <c:showDLblsOverMax val="0"/>
  </c:chart>
  <c:spPr>
    <a:solidFill>
      <a:schemeClr val="bg1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903A-5383-4792-A8CF-3BCD2C95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Thema</dc:creator>
  <cp:lastModifiedBy>dex</cp:lastModifiedBy>
  <cp:revision>4</cp:revision>
  <cp:lastPrinted>2017-07-28T07:54:00Z</cp:lastPrinted>
  <dcterms:created xsi:type="dcterms:W3CDTF">2018-10-29T14:08:00Z</dcterms:created>
  <dcterms:modified xsi:type="dcterms:W3CDTF">2018-10-29T14:54:00Z</dcterms:modified>
</cp:coreProperties>
</file>